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4939" w14:textId="585B9E1A" w:rsidR="00012566" w:rsidRDefault="02D2009C">
      <w:r>
        <w:t>One click Report analysis</w:t>
      </w:r>
    </w:p>
    <w:p w14:paraId="5E85E47F" w14:textId="6508E3D2" w:rsidR="00012566" w:rsidRDefault="00FC19C0" w:rsidP="5F60E061">
      <w:pPr>
        <w:spacing w:before="281" w:after="281" w:line="300" w:lineRule="auto"/>
      </w:pPr>
      <w:r>
        <w:t xml:space="preserve"> </w:t>
      </w:r>
      <w:r w:rsidR="73F695E5" w:rsidRPr="5F60E061">
        <w:rPr>
          <w:rFonts w:ascii="Segoe UI" w:eastAsia="Segoe UI" w:hAnsi="Segoe UI" w:cs="Segoe UI"/>
          <w:b/>
          <w:bCs/>
          <w:sz w:val="42"/>
          <w:szCs w:val="42"/>
        </w:rPr>
        <w:t>One-Click Report Analysis</w:t>
      </w:r>
    </w:p>
    <w:p w14:paraId="61E8BE4B" w14:textId="6FBB7759" w:rsidR="00012566" w:rsidRDefault="73F695E5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1. Overview</w:t>
      </w:r>
    </w:p>
    <w:p w14:paraId="78F37250" w14:textId="62575222" w:rsidR="00012566" w:rsidRDefault="73F695E5" w:rsidP="5F60E061">
      <w:pPr>
        <w:rPr>
          <w:rFonts w:ascii="Segoe UI" w:eastAsia="Segoe UI" w:hAnsi="Segoe UI" w:cs="Segoe UI"/>
          <w:sz w:val="21"/>
          <w:szCs w:val="21"/>
        </w:rPr>
      </w:pPr>
      <w:r w:rsidRPr="5F60E061">
        <w:rPr>
          <w:rFonts w:ascii="Segoe UI" w:eastAsia="Segoe UI" w:hAnsi="Segoe UI" w:cs="Segoe UI"/>
          <w:sz w:val="21"/>
          <w:szCs w:val="21"/>
        </w:rPr>
        <w:t xml:space="preserve">When users submit a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One-Click Report</w:t>
      </w:r>
      <w:r w:rsidRPr="5F60E061">
        <w:rPr>
          <w:rFonts w:ascii="Segoe UI" w:eastAsia="Segoe UI" w:hAnsi="Segoe UI" w:cs="Segoe UI"/>
          <w:sz w:val="21"/>
          <w:szCs w:val="21"/>
        </w:rPr>
        <w:t xml:space="preserve">, the details of the report—including user actions—are captured and stored in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Salesforce Vlocity Error Log</w:t>
      </w:r>
      <w:r w:rsidRPr="5F60E061">
        <w:rPr>
          <w:rFonts w:ascii="Segoe UI" w:eastAsia="Segoe UI" w:hAnsi="Segoe UI" w:cs="Segoe UI"/>
          <w:sz w:val="21"/>
          <w:szCs w:val="21"/>
        </w:rPr>
        <w:t>. This log serves as the primary source for analyzing issues encountered during the One-Click process. Screenshots of the error logs are referenced for additional clarity and validation. We focus more on screen frozen or screen struck issues reported by Agents.</w:t>
      </w:r>
    </w:p>
    <w:p w14:paraId="537AE36A" w14:textId="26A31AF4" w:rsidR="00012566" w:rsidRDefault="00FC19C0" w:rsidP="5F60E061">
      <w:r>
        <w:t xml:space="preserve"> </w:t>
      </w:r>
      <w:r w:rsidR="6B0EFBCD">
        <w:rPr>
          <w:noProof/>
        </w:rPr>
        <w:drawing>
          <wp:inline distT="0" distB="0" distL="0" distR="0" wp14:anchorId="49FAE2B1" wp14:editId="580975D7">
            <wp:extent cx="5585517" cy="3983262"/>
            <wp:effectExtent l="0" t="0" r="0" b="0"/>
            <wp:docPr id="725926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6335" name="Picture 725926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517" cy="39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581" w14:textId="43278334" w:rsidR="16E4A68A" w:rsidRDefault="16E4A68A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2. Identification of the Related OmniScript</w:t>
      </w:r>
    </w:p>
    <w:p w14:paraId="6A38ADE1" w14:textId="177F5853" w:rsidR="16E4A68A" w:rsidRDefault="16E4A68A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To determine which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OmniScript</w:t>
      </w:r>
      <w:r w:rsidRPr="5F60E061">
        <w:rPr>
          <w:rFonts w:ascii="Segoe UI" w:eastAsia="Segoe UI" w:hAnsi="Segoe UI" w:cs="Segoe UI"/>
          <w:sz w:val="21"/>
          <w:szCs w:val="21"/>
        </w:rPr>
        <w:t xml:space="preserve"> a One-Click Report is associated with, we analyze the </w:t>
      </w:r>
      <w:r w:rsidRPr="5F60E061">
        <w:rPr>
          <w:rFonts w:ascii="Consolas" w:eastAsia="Consolas" w:hAnsi="Consolas" w:cs="Consolas"/>
          <w:b/>
          <w:bCs/>
          <w:sz w:val="21"/>
          <w:szCs w:val="21"/>
        </w:rPr>
        <w:t>ProcessIdentifier</w:t>
      </w:r>
      <w:r w:rsidRPr="5F60E061">
        <w:rPr>
          <w:rFonts w:ascii="Segoe UI" w:eastAsia="Segoe UI" w:hAnsi="Segoe UI" w:cs="Segoe UI"/>
          <w:sz w:val="21"/>
          <w:szCs w:val="21"/>
        </w:rPr>
        <w:t xml:space="preserve"> field in the Vlocity Error Log.</w:t>
      </w:r>
      <w:r>
        <w:br/>
      </w:r>
      <w:r w:rsidRPr="5F60E061">
        <w:rPr>
          <w:rFonts w:ascii="Segoe UI" w:eastAsia="Segoe UI" w:hAnsi="Segoe UI" w:cs="Segoe UI"/>
          <w:sz w:val="21"/>
          <w:szCs w:val="21"/>
        </w:rPr>
        <w:t xml:space="preserve"> This identifier typically contains the name of the OmniScript that triggered the report, enabling us to precisely map the reported issue to the corresponding business flow.</w:t>
      </w:r>
    </w:p>
    <w:p w14:paraId="1210E9F4" w14:textId="15DCAE57" w:rsidR="00012566" w:rsidRDefault="00012566">
      <w:pPr>
        <w:rPr>
          <w:b/>
          <w:bCs/>
        </w:rPr>
      </w:pPr>
      <w:r>
        <w:rPr>
          <w:noProof/>
        </w:rPr>
        <w:drawing>
          <wp:inline distT="0" distB="0" distL="0" distR="0" wp14:anchorId="4E18EDB0" wp14:editId="4F45945A">
            <wp:extent cx="2502029" cy="615982"/>
            <wp:effectExtent l="0" t="0" r="0" b="0"/>
            <wp:docPr id="17328114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4F2E1DD-C598-41B2-BF04-DF1BDE1B31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9491" w14:textId="0E7DEAB7" w:rsidR="527C344E" w:rsidRDefault="527C344E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3. Error Analysis Using Vlocity Logs</w:t>
      </w:r>
    </w:p>
    <w:p w14:paraId="43690D0C" w14:textId="7D70D5C7" w:rsidR="527C344E" w:rsidRDefault="527C344E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Based on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timeframe</w:t>
      </w:r>
      <w:r w:rsidRPr="5F60E061">
        <w:rPr>
          <w:rFonts w:ascii="Segoe UI" w:eastAsia="Segoe UI" w:hAnsi="Segoe UI" w:cs="Segoe UI"/>
          <w:sz w:val="21"/>
          <w:szCs w:val="21"/>
        </w:rPr>
        <w:t xml:space="preserve"> of the issue and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agent LAN ID</w:t>
      </w:r>
      <w:r w:rsidRPr="5F60E061">
        <w:rPr>
          <w:rFonts w:ascii="Segoe UI" w:eastAsia="Segoe UI" w:hAnsi="Segoe UI" w:cs="Segoe UI"/>
          <w:sz w:val="21"/>
          <w:szCs w:val="21"/>
        </w:rPr>
        <w:t>, we review the Vlocity Error Logs to identify relevant failures or exceptions. This step helps narrow down the exact execution window and user context in which the issue occurred.</w:t>
      </w:r>
    </w:p>
    <w:p w14:paraId="5C67D613" w14:textId="01A85049" w:rsidR="00012566" w:rsidRDefault="00012566">
      <w:r>
        <w:rPr>
          <w:noProof/>
        </w:rPr>
        <w:drawing>
          <wp:inline distT="0" distB="0" distL="0" distR="0" wp14:anchorId="311CA29D" wp14:editId="64C60919">
            <wp:extent cx="1263715" cy="2705279"/>
            <wp:effectExtent l="0" t="0" r="0" b="0"/>
            <wp:docPr id="19525116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C6E80D-AEEE-4459-9CF0-18519782A2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1600" name=""/>
                    <pic:cNvPicPr/>
                  </pic:nvPicPr>
                  <pic:blipFill>
                    <a:blip r:embed="rId8"/>
                    <a:srcRect b="37444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27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96A9" w14:textId="5544C51F" w:rsidR="00012566" w:rsidRDefault="6DF4A04A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4. Direct Issue Investigation via Logged IDs</w:t>
      </w:r>
    </w:p>
    <w:p w14:paraId="545C8C41" w14:textId="0179F2BD" w:rsidR="00012566" w:rsidRDefault="6DF4A04A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In some cases,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Vlocity Error Log</w:t>
      </w:r>
      <w:r w:rsidRPr="5F60E061">
        <w:rPr>
          <w:rFonts w:ascii="Segoe UI" w:eastAsia="Segoe UI" w:hAnsi="Segoe UI" w:cs="Segoe UI"/>
          <w:sz w:val="21"/>
          <w:szCs w:val="21"/>
        </w:rPr>
        <w:t xml:space="preserve"> or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Exception Log</w:t>
      </w:r>
      <w:r w:rsidRPr="5F60E061">
        <w:rPr>
          <w:rFonts w:ascii="Segoe UI" w:eastAsia="Segoe UI" w:hAnsi="Segoe UI" w:cs="Segoe UI"/>
          <w:sz w:val="21"/>
          <w:szCs w:val="21"/>
        </w:rPr>
        <w:t xml:space="preserve"> ID is already captured within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Error Message</w:t>
      </w:r>
      <w:r w:rsidRPr="5F60E061">
        <w:rPr>
          <w:rFonts w:ascii="Segoe UI" w:eastAsia="Segoe UI" w:hAnsi="Segoe UI" w:cs="Segoe UI"/>
          <w:sz w:val="21"/>
          <w:szCs w:val="21"/>
        </w:rPr>
        <w:t xml:space="preserve"> column of the One-Click Report.</w:t>
      </w:r>
      <w:r w:rsidR="00012566">
        <w:br/>
      </w:r>
      <w:r w:rsidRPr="5F60E061">
        <w:rPr>
          <w:rFonts w:ascii="Segoe UI" w:eastAsia="Segoe UI" w:hAnsi="Segoe UI" w:cs="Segoe UI"/>
          <w:sz w:val="21"/>
          <w:szCs w:val="21"/>
        </w:rPr>
        <w:t xml:space="preserve"> When this information is available, we can directly search for the corresponding record in Salesforce using the ID, significantly reducing the time required to identify and troubleshoot the issue.</w:t>
      </w:r>
    </w:p>
    <w:p w14:paraId="0C1984B1" w14:textId="418153CB" w:rsidR="00012566" w:rsidRDefault="00012566">
      <w:r>
        <w:br/>
      </w:r>
      <w:r>
        <w:rPr>
          <w:noProof/>
        </w:rPr>
        <w:drawing>
          <wp:inline distT="0" distB="0" distL="0" distR="0" wp14:anchorId="618CB1C3" wp14:editId="6B2CC9BA">
            <wp:extent cx="2438525" cy="4444733"/>
            <wp:effectExtent l="0" t="0" r="0" b="0"/>
            <wp:docPr id="18104921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78C6A6B-1312-45D9-ACCC-198BA5024B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2167" name=""/>
                    <pic:cNvPicPr/>
                  </pic:nvPicPr>
                  <pic:blipFill>
                    <a:blip r:embed="rId9"/>
                    <a:srcRect b="7905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44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23ED" w14:textId="532AB10D" w:rsidR="009E69F8" w:rsidRDefault="74EB35AF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5. Exception and Error Log Examples</w:t>
      </w:r>
    </w:p>
    <w:p w14:paraId="12288B42" w14:textId="29AC51C4" w:rsidR="009E69F8" w:rsidRDefault="74EB35AF" w:rsidP="5F60E061">
      <w:pPr>
        <w:pStyle w:val="Heading3"/>
        <w:spacing w:before="246" w:after="246" w:line="300" w:lineRule="auto"/>
      </w:pPr>
      <w:r w:rsidRPr="5F60E061">
        <w:rPr>
          <w:rFonts w:ascii="Segoe UI" w:eastAsia="Segoe UI" w:hAnsi="Segoe UI" w:cs="Segoe UI"/>
          <w:b/>
          <w:bCs/>
          <w:sz w:val="24"/>
          <w:szCs w:val="24"/>
        </w:rPr>
        <w:t>5.1 PS Exception Log</w:t>
      </w:r>
    </w:p>
    <w:p w14:paraId="77741883" w14:textId="2557C547" w:rsidR="009E69F8" w:rsidRDefault="74EB35AF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An example of a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PS Exception Log</w:t>
      </w:r>
      <w:r w:rsidRPr="5F60E061">
        <w:rPr>
          <w:rFonts w:ascii="Segoe UI" w:eastAsia="Segoe UI" w:hAnsi="Segoe UI" w:cs="Segoe UI"/>
          <w:sz w:val="21"/>
          <w:szCs w:val="21"/>
        </w:rPr>
        <w:t xml:space="preserve"> is provided for reference, illustrating how system-level exceptions are captured during runtime.</w:t>
      </w:r>
    </w:p>
    <w:p w14:paraId="29AC5C09" w14:textId="42628422" w:rsidR="009E69F8" w:rsidRDefault="009E69F8">
      <w:r>
        <w:br/>
      </w:r>
      <w:r>
        <w:rPr>
          <w:noProof/>
        </w:rPr>
        <w:drawing>
          <wp:inline distT="0" distB="0" distL="0" distR="0" wp14:anchorId="15AD0011" wp14:editId="26BF2D51">
            <wp:extent cx="4752975" cy="2488711"/>
            <wp:effectExtent l="0" t="0" r="0" b="0"/>
            <wp:docPr id="1381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D094" w14:textId="3E466716" w:rsidR="009E69F8" w:rsidRDefault="4094856A" w:rsidP="5F60E061">
      <w:pPr>
        <w:pStyle w:val="Heading3"/>
        <w:spacing w:before="246" w:after="246" w:line="300" w:lineRule="auto"/>
      </w:pPr>
      <w:r w:rsidRPr="5F60E061">
        <w:rPr>
          <w:rFonts w:ascii="Segoe UI" w:eastAsia="Segoe UI" w:hAnsi="Segoe UI" w:cs="Segoe UI"/>
          <w:b/>
          <w:bCs/>
          <w:sz w:val="24"/>
          <w:szCs w:val="24"/>
        </w:rPr>
        <w:t>5.2 Vlocity Error Log</w:t>
      </w:r>
    </w:p>
    <w:p w14:paraId="03B6AA2B" w14:textId="7B2C0485" w:rsidR="009E69F8" w:rsidRDefault="4094856A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A sample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Vlocity Error Log</w:t>
      </w:r>
      <w:r w:rsidRPr="5F60E061">
        <w:rPr>
          <w:rFonts w:ascii="Segoe UI" w:eastAsia="Segoe UI" w:hAnsi="Segoe UI" w:cs="Segoe UI"/>
          <w:sz w:val="21"/>
          <w:szCs w:val="21"/>
        </w:rPr>
        <w:t xml:space="preserve"> demonstrates how both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request</w:t>
      </w:r>
      <w:r w:rsidRPr="5F60E061">
        <w:rPr>
          <w:rFonts w:ascii="Segoe UI" w:eastAsia="Segoe UI" w:hAnsi="Segoe UI" w:cs="Segoe UI"/>
          <w:sz w:val="21"/>
          <w:szCs w:val="21"/>
        </w:rPr>
        <w:t xml:space="preserve"> and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response</w:t>
      </w:r>
      <w:r w:rsidRPr="5F60E061">
        <w:rPr>
          <w:rFonts w:ascii="Segoe UI" w:eastAsia="Segoe UI" w:hAnsi="Segoe UI" w:cs="Segoe UI"/>
          <w:sz w:val="21"/>
          <w:szCs w:val="21"/>
        </w:rPr>
        <w:t xml:space="preserve"> payloads are recorded for a specific functionality. These details are critical for deeper root-cause analysis.</w:t>
      </w:r>
      <w:r w:rsidR="009E69F8">
        <w:br/>
      </w:r>
      <w:r w:rsidR="1AE70A92">
        <w:rPr>
          <w:noProof/>
        </w:rPr>
        <w:drawing>
          <wp:inline distT="0" distB="0" distL="0" distR="0" wp14:anchorId="42A37962" wp14:editId="4E5893D6">
            <wp:extent cx="4403434" cy="3478995"/>
            <wp:effectExtent l="0" t="0" r="0" b="0"/>
            <wp:docPr id="88131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684" name="Picture 88131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434" cy="34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11B0" w14:textId="77777777" w:rsidR="00012566" w:rsidRDefault="00012566"/>
    <w:p w14:paraId="53619F71" w14:textId="624A8DC0" w:rsidR="59D27CF6" w:rsidRDefault="59D27CF6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6. Challenges in Root Cause Identification</w:t>
      </w:r>
    </w:p>
    <w:p w14:paraId="396689B2" w14:textId="6B60C835" w:rsidR="59D27CF6" w:rsidRDefault="59D27CF6" w:rsidP="5F60E061">
      <w:pPr>
        <w:spacing w:before="210" w:after="210" w:line="300" w:lineRule="auto"/>
      </w:pPr>
      <w:r w:rsidRPr="5F60E061">
        <w:rPr>
          <w:rFonts w:ascii="Segoe UI" w:eastAsia="Segoe UI" w:hAnsi="Segoe UI" w:cs="Segoe UI"/>
          <w:sz w:val="21"/>
          <w:szCs w:val="21"/>
        </w:rPr>
        <w:t xml:space="preserve">In approximately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80% of cases</w:t>
      </w:r>
      <w:r w:rsidRPr="5F60E061">
        <w:rPr>
          <w:rFonts w:ascii="Segoe UI" w:eastAsia="Segoe UI" w:hAnsi="Segoe UI" w:cs="Segoe UI"/>
          <w:sz w:val="21"/>
          <w:szCs w:val="21"/>
        </w:rPr>
        <w:t>, the description provided in the One-Click Report is insufficient to determine the exact step where the user encountered an error.</w:t>
      </w:r>
      <w:r>
        <w:br/>
      </w:r>
      <w:r w:rsidRPr="5F60E061">
        <w:rPr>
          <w:rFonts w:ascii="Segoe UI" w:eastAsia="Segoe UI" w:hAnsi="Segoe UI" w:cs="Segoe UI"/>
          <w:sz w:val="21"/>
          <w:szCs w:val="21"/>
        </w:rPr>
        <w:t xml:space="preserve"> In such scenarios, it becomes necessary to review the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user interaction recording</w:t>
      </w:r>
      <w:r w:rsidRPr="5F60E061">
        <w:rPr>
          <w:rFonts w:ascii="Segoe UI" w:eastAsia="Segoe UI" w:hAnsi="Segoe UI" w:cs="Segoe UI"/>
          <w:sz w:val="21"/>
          <w:szCs w:val="21"/>
        </w:rPr>
        <w:t xml:space="preserve"> to accurately identify the failing step within the OmniScript flow.</w:t>
      </w:r>
    </w:p>
    <w:p w14:paraId="4942FBC7" w14:textId="6296D8AF" w:rsidR="007C631A" w:rsidRDefault="00012566">
      <w:r>
        <w:rPr>
          <w:noProof/>
        </w:rPr>
        <w:drawing>
          <wp:inline distT="0" distB="0" distL="0" distR="0" wp14:anchorId="4C4BE191" wp14:editId="6133F0EF">
            <wp:extent cx="2482978" cy="2680652"/>
            <wp:effectExtent l="0" t="0" r="0" b="0"/>
            <wp:docPr id="5217317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1A78C43-C0D1-4898-8B19-F20B4668D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1779" name=""/>
                    <pic:cNvPicPr/>
                  </pic:nvPicPr>
                  <pic:blipFill>
                    <a:blip r:embed="rId12"/>
                    <a:srcRect b="37555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6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3A75" w14:textId="67DF466D" w:rsidR="007C631A" w:rsidRDefault="12B56EDB" w:rsidP="5F60E061">
      <w:pPr>
        <w:pStyle w:val="Heading2"/>
        <w:spacing w:before="261" w:after="261" w:line="300" w:lineRule="auto"/>
      </w:pPr>
      <w:r w:rsidRPr="5F60E061">
        <w:rPr>
          <w:rFonts w:ascii="Segoe UI" w:eastAsia="Segoe UI" w:hAnsi="Segoe UI" w:cs="Segoe UI"/>
          <w:b/>
          <w:bCs/>
          <w:sz w:val="31"/>
          <w:szCs w:val="31"/>
        </w:rPr>
        <w:t>7. Reference Materials</w:t>
      </w:r>
    </w:p>
    <w:p w14:paraId="0EB8453D" w14:textId="0FEE7EEF" w:rsidR="007C631A" w:rsidRDefault="12B56EDB" w:rsidP="5F60E061">
      <w:pPr>
        <w:spacing w:before="210" w:after="210" w:line="300" w:lineRule="auto"/>
        <w:rPr>
          <w:rStyle w:val="Hyperlink"/>
        </w:rPr>
      </w:pPr>
      <w:r w:rsidRPr="5F60E061">
        <w:rPr>
          <w:rFonts w:ascii="Segoe UI" w:eastAsia="Segoe UI" w:hAnsi="Segoe UI" w:cs="Segoe UI"/>
          <w:sz w:val="21"/>
          <w:szCs w:val="21"/>
        </w:rPr>
        <w:t xml:space="preserve">For additional context, a sample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One-Click Report Excel sheet</w:t>
      </w:r>
      <w:r w:rsidRPr="5F60E061">
        <w:rPr>
          <w:rFonts w:ascii="Segoe UI" w:eastAsia="Segoe UI" w:hAnsi="Segoe UI" w:cs="Segoe UI"/>
          <w:sz w:val="21"/>
          <w:szCs w:val="21"/>
        </w:rPr>
        <w:t xml:space="preserve"> (as exported from </w:t>
      </w:r>
      <w:r w:rsidRPr="5F60E061">
        <w:rPr>
          <w:rFonts w:ascii="Segoe UI" w:eastAsia="Segoe UI" w:hAnsi="Segoe UI" w:cs="Segoe UI"/>
          <w:b/>
          <w:bCs/>
          <w:sz w:val="21"/>
          <w:szCs w:val="21"/>
        </w:rPr>
        <w:t>OneTrack</w:t>
      </w:r>
      <w:r w:rsidRPr="5F60E061">
        <w:rPr>
          <w:rFonts w:ascii="Segoe UI" w:eastAsia="Segoe UI" w:hAnsi="Segoe UI" w:cs="Segoe UI"/>
          <w:sz w:val="21"/>
          <w:szCs w:val="21"/>
        </w:rPr>
        <w:t>) has been provided. This reference illustrates the structure and data fields available in the exported report.</w:t>
      </w:r>
      <w:r w:rsidR="007C631A">
        <w:br/>
      </w:r>
      <w:hyperlink r:id="rId13">
        <w:r w:rsidR="00481CD6" w:rsidRPr="5F60E061">
          <w:rPr>
            <w:rStyle w:val="Hyperlink"/>
          </w:rPr>
          <w:t>27thMarch.xlsx</w:t>
        </w:r>
      </w:hyperlink>
    </w:p>
    <w:sectPr w:rsidR="007C631A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B146" w14:textId="77777777" w:rsidR="007B51C8" w:rsidRDefault="007B51C8" w:rsidP="00012566">
      <w:pPr>
        <w:spacing w:after="0" w:line="240" w:lineRule="auto"/>
      </w:pPr>
      <w:r>
        <w:separator/>
      </w:r>
    </w:p>
  </w:endnote>
  <w:endnote w:type="continuationSeparator" w:id="0">
    <w:p w14:paraId="69A6F3AF" w14:textId="77777777" w:rsidR="007B51C8" w:rsidRDefault="007B51C8" w:rsidP="0001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080D0" w14:textId="298E2886" w:rsidR="00012566" w:rsidRDefault="000125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DB57399" wp14:editId="78290F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405765"/>
              <wp:effectExtent l="0" t="0" r="8890" b="0"/>
              <wp:wrapNone/>
              <wp:docPr id="1830389382" name="Text Box 2" descr="Public ">
                <a:extLst xmlns:a="http://schemas.openxmlformats.org/drawingml/2006/main">
                  <a:ext uri="{FF2B5EF4-FFF2-40B4-BE49-F238E27FC236}">
                    <a16:creationId xmlns:a16="http://schemas.microsoft.com/office/drawing/2014/main" id="{EDA0FEF7-4C34-444F-A2D8-CF80C1276904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F3C4B" w14:textId="1CC8C4E4" w:rsidR="00012566" w:rsidRPr="00012566" w:rsidRDefault="00012566" w:rsidP="000125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256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16="http://schemas.microsoft.com/office/drawing/2014/main" xmlns:a="http://schemas.openxmlformats.org/drawingml/2006/main">
          <w:pict>
            <v:shapetype id="_x0000_t202" coordsize="21600,21600" o:spt="202" path="m,l,21600r21600,l21600,xe" w14:anchorId="4DB57399">
              <v:stroke joinstyle="miter"/>
              <v:path gradientshapeok="t" o:connecttype="rect"/>
            </v:shapetype>
            <v:shape id="Text Box 2" style="position:absolute;margin-left:0;margin-top:0;width:32.3pt;height:31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">
              <v:textbox style="mso-fit-shape-to-text:t" inset="0,0,0,15pt">
                <w:txbxContent>
                  <w:p w:rsidRPr="00012566" w:rsidR="00012566" w:rsidP="00012566" w:rsidRDefault="00012566" w14:paraId="0A4F3C4B" w14:textId="1CC8C4E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</w:rPr>
                    </w:pPr>
                    <w:r w:rsidRPr="00012566">
                      <w:rPr>
                        <w:rFonts w:ascii="Aptos" w:hAnsi="Aptos" w:eastAsia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FAC1" w14:textId="425AD40F" w:rsidR="00012566" w:rsidRDefault="000125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18624DB" wp14:editId="59FD0B6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405765"/>
              <wp:effectExtent l="0" t="0" r="8890" b="0"/>
              <wp:wrapNone/>
              <wp:docPr id="1483992219" name="Text Box 3" descr="Public ">
                <a:extLst xmlns:a="http://schemas.openxmlformats.org/drawingml/2006/main">
                  <a:ext uri="{FF2B5EF4-FFF2-40B4-BE49-F238E27FC236}">
                    <a16:creationId xmlns:a16="http://schemas.microsoft.com/office/drawing/2014/main" id="{B29E8918-8C0C-4495-AC67-36BD5F2E28A6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74286" w14:textId="60500D5F" w:rsidR="00012566" w:rsidRPr="00012566" w:rsidRDefault="00012566" w:rsidP="000125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256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16="http://schemas.microsoft.com/office/drawing/2014/main" xmlns:a="http://schemas.openxmlformats.org/drawingml/2006/main">
          <w:pict>
            <v:shapetype id="_x0000_t202" coordsize="21600,21600" o:spt="202" path="m,l,21600r21600,l21600,xe" w14:anchorId="318624DB">
              <v:stroke joinstyle="miter"/>
              <v:path gradientshapeok="t" o:connecttype="rect"/>
            </v:shapetype>
            <v:shape id="Text Box 3" style="position:absolute;margin-left:0;margin-top:0;width:32.3pt;height:31.9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i9/DAIAABwEAAAOAAAAZHJzL2Uyb0RvYy54bWysU8Fu2zAMvQ/YPwi6L7aDplu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">
              <v:textbox style="mso-fit-shape-to-text:t" inset="0,0,0,15pt">
                <w:txbxContent>
                  <w:p w:rsidRPr="00012566" w:rsidR="00012566" w:rsidP="00012566" w:rsidRDefault="00012566" w14:paraId="7DC74286" w14:textId="60500D5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</w:rPr>
                    </w:pPr>
                    <w:r w:rsidRPr="00012566">
                      <w:rPr>
                        <w:rFonts w:ascii="Aptos" w:hAnsi="Aptos" w:eastAsia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2D15" w14:textId="517F4B10" w:rsidR="00012566" w:rsidRDefault="000125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6F96A2" wp14:editId="142FB30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405765"/>
              <wp:effectExtent l="0" t="0" r="8890" b="0"/>
              <wp:wrapNone/>
              <wp:docPr id="647774307" name="Text Box 1" descr="Public ">
                <a:extLst xmlns:a="http://schemas.openxmlformats.org/drawingml/2006/main">
                  <a:ext uri="{FF2B5EF4-FFF2-40B4-BE49-F238E27FC236}">
                    <a16:creationId xmlns:a16="http://schemas.microsoft.com/office/drawing/2014/main" id="{995FD0A8-F478-42C5-8529-47584453873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566DBF" w14:textId="7BBD1C1D" w:rsidR="00012566" w:rsidRPr="00012566" w:rsidRDefault="00012566" w:rsidP="000125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256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16="http://schemas.microsoft.com/office/drawing/2014/main" xmlns:a="http://schemas.openxmlformats.org/drawingml/2006/main">
          <w:pict>
            <v:shapetype id="_x0000_t202" coordsize="21600,21600" o:spt="202" path="m,l,21600r21600,l21600,xe" w14:anchorId="1B6F96A2">
              <v:stroke joinstyle="miter"/>
              <v:path gradientshapeok="t" o:connecttype="rect"/>
            </v:shapetype>
            <v:shape id="Text Box 1" style="position:absolute;margin-left:0;margin-top:0;width:32.3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">
              <v:textbox style="mso-fit-shape-to-text:t" inset="0,0,0,15pt">
                <w:txbxContent>
                  <w:p w:rsidRPr="00012566" w:rsidR="00012566" w:rsidP="00012566" w:rsidRDefault="00012566" w14:paraId="51566DBF" w14:textId="7BBD1C1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</w:rPr>
                    </w:pPr>
                    <w:r w:rsidRPr="00012566">
                      <w:rPr>
                        <w:rFonts w:ascii="Aptos" w:hAnsi="Aptos" w:eastAsia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066A" w14:textId="77777777" w:rsidR="007B51C8" w:rsidRDefault="007B51C8" w:rsidP="00012566">
      <w:pPr>
        <w:spacing w:after="0" w:line="240" w:lineRule="auto"/>
      </w:pPr>
      <w:r>
        <w:separator/>
      </w:r>
    </w:p>
  </w:footnote>
  <w:footnote w:type="continuationSeparator" w:id="0">
    <w:p w14:paraId="22ED03AB" w14:textId="77777777" w:rsidR="007B51C8" w:rsidRDefault="007B51C8" w:rsidP="000125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66"/>
    <w:rsid w:val="00007B4F"/>
    <w:rsid w:val="00012566"/>
    <w:rsid w:val="00041FD5"/>
    <w:rsid w:val="000542DA"/>
    <w:rsid w:val="00060C5A"/>
    <w:rsid w:val="000E070E"/>
    <w:rsid w:val="000E46CF"/>
    <w:rsid w:val="000F345C"/>
    <w:rsid w:val="00155728"/>
    <w:rsid w:val="0028030B"/>
    <w:rsid w:val="002F24C1"/>
    <w:rsid w:val="00351BC4"/>
    <w:rsid w:val="00403D19"/>
    <w:rsid w:val="00415178"/>
    <w:rsid w:val="00481CD6"/>
    <w:rsid w:val="00486B98"/>
    <w:rsid w:val="004A61B7"/>
    <w:rsid w:val="005F0B11"/>
    <w:rsid w:val="00601FDB"/>
    <w:rsid w:val="006175F1"/>
    <w:rsid w:val="0067175E"/>
    <w:rsid w:val="00677373"/>
    <w:rsid w:val="006C0F97"/>
    <w:rsid w:val="00715F47"/>
    <w:rsid w:val="007B51C8"/>
    <w:rsid w:val="007C631A"/>
    <w:rsid w:val="0097388F"/>
    <w:rsid w:val="009D7C6C"/>
    <w:rsid w:val="009E69F8"/>
    <w:rsid w:val="00A10FE4"/>
    <w:rsid w:val="00A57E6B"/>
    <w:rsid w:val="00A85959"/>
    <w:rsid w:val="00AD21D9"/>
    <w:rsid w:val="00B06839"/>
    <w:rsid w:val="00B119AD"/>
    <w:rsid w:val="00B513F4"/>
    <w:rsid w:val="00B65CDD"/>
    <w:rsid w:val="00BC1024"/>
    <w:rsid w:val="00BF3E8F"/>
    <w:rsid w:val="00BF4C13"/>
    <w:rsid w:val="00C35863"/>
    <w:rsid w:val="00CB399F"/>
    <w:rsid w:val="00D33C60"/>
    <w:rsid w:val="00D368EA"/>
    <w:rsid w:val="00D740BA"/>
    <w:rsid w:val="00D95233"/>
    <w:rsid w:val="00E26D8B"/>
    <w:rsid w:val="00E4083C"/>
    <w:rsid w:val="00EC4CB1"/>
    <w:rsid w:val="00EF65B4"/>
    <w:rsid w:val="00F22FEE"/>
    <w:rsid w:val="00F62AED"/>
    <w:rsid w:val="00F739B6"/>
    <w:rsid w:val="00FC19C0"/>
    <w:rsid w:val="00FD7590"/>
    <w:rsid w:val="02D2009C"/>
    <w:rsid w:val="12B56EDB"/>
    <w:rsid w:val="16E4A68A"/>
    <w:rsid w:val="1AE70A92"/>
    <w:rsid w:val="4094856A"/>
    <w:rsid w:val="527C344E"/>
    <w:rsid w:val="59D27CF6"/>
    <w:rsid w:val="5F60E061"/>
    <w:rsid w:val="6B0EFBCD"/>
    <w:rsid w:val="6DF4A04A"/>
    <w:rsid w:val="73F695E5"/>
    <w:rsid w:val="74EB35AF"/>
    <w:rsid w:val="7F6DC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1369"/>
  <w15:chartTrackingRefBased/>
  <w15:docId w15:val="{77D8BD27-195B-4C12-A52E-AD978535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6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12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566"/>
  </w:style>
  <w:style w:type="paragraph" w:styleId="Header">
    <w:name w:val="header"/>
    <w:basedOn w:val="Normal"/>
    <w:link w:val="HeaderChar"/>
    <w:uiPriority w:val="99"/>
    <w:semiHidden/>
    <w:unhideWhenUsed/>
    <w:rsid w:val="00EC4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4CB1"/>
  </w:style>
  <w:style w:type="character" w:styleId="Hyperlink">
    <w:name w:val="Hyperlink"/>
    <w:basedOn w:val="DefaultParagraphFont"/>
    <w:uiPriority w:val="99"/>
    <w:unhideWhenUsed/>
    <w:rsid w:val="00481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ge-my.sharepoint.com/:x:/r/personal/r0kp_pge_com/Documents/27thMarch.xlsx?d=wdaa51ce79e554e058e783a31749ee9b2&amp;csf=1&amp;web=1&amp;e=YNpdQb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837e6c-d705-437e-b3ab-e6d8024f5cad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2245</Characters>
  <Application>Microsoft Office Word</Application>
  <DocSecurity>4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Rupesh</dc:creator>
  <cp:keywords/>
  <dc:description/>
  <cp:lastModifiedBy>Prakash, Yuga</cp:lastModifiedBy>
  <cp:revision>25</cp:revision>
  <dcterms:created xsi:type="dcterms:W3CDTF">2026-04-01T22:40:00Z</dcterms:created>
  <dcterms:modified xsi:type="dcterms:W3CDTF">2026-04-01T15:02:00Z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269c4063,6d198686,5873ec9b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Public </vt:lpwstr>
  </property>
</Properties>
</file>