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ПРОЕКТ ЛОКАЛЬНЫХ РЕШЕНИЙ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Мотивация и стимулирование участников ШНОУ «Вектор 20»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Как учитывать вклад без гонки за дипломами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p>
      <w:pPr>
        <w:pStyle w:val="Heading1"/>
        <w:keepNext/>
      </w:pPr>
      <w:r>
        <w:t>1. Назначение документа</w:t>
      </w:r>
    </w:p>
    <w:p>
      <w:r>
        <w:rPr>
          <w:rFonts w:ascii="Times New Roman" w:hAnsi="Times New Roman" w:eastAsia="Times New Roman"/>
          <w:b w:val="0"/>
          <w:i w:val="0"/>
        </w:rPr>
        <w:t>Документ содержит проект критериев, которые школа может использовать при корректировке положения об оплате труда, положения о стимулирующих выплатах, форм нематериального признания и внутришкольного учёта вклада. Он не устанавливает выплат самостоятельно и требует согласования с действующими муниципальными и школьными актами, фондом оплаты труда и представительным органом работников в предусмотренном порядке.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Основной принцип</w:t>
            </w:r>
          </w:p>
          <w:p>
            <w:pPr>
              <w:pStyle w:val="Callout"/>
              <w:spacing w:after="0"/>
            </w:pPr>
            <w:r>
              <w:t>Стимулируется не только внешний диплом, а качественно организованный процесс: выявление, маршрут, самостоятельный продукт, экспертиза, равный доступ, методический и инфраструктурный вклад.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Почему нельзя платить только за призовые места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Риск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происходит</w:t>
            </w:r>
          </w:p>
        </w:tc>
        <w:tc>
          <w:tcPr>
            <w:tcW w:type="dxa" w:w="368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Как исправляет модель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Выбор только заранее сильных детей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 избегает учеников с высоким потенциалом, но неочевидным результатом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Учитывается завершённый маршрут и динамика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Формальное массовое участие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Количество сертификатов растёт без образовательной ценности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Учитываются только проверенные возможности и содержательные продукты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Подмена авторства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Взрослый заинтересован сделать работу за ребёнка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Самостоятельность и прозрачность помощи — обязательный критерий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Перегрузка лидеров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Небольшая группа педагогов ведёт всё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Баллы и признание получают также эксперты, разработчики проб, координаторы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Неравенство предметов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Дипломов в одних областях объективно больше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Процессные критерии сопоставимы между предметами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Непредсказуемость внешней оценки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Сильная работа может не занять место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Экспертное качество и следующий шаг учитываются независимо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Игнорирование инфраструктуры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Никто не хочет вести банк, конференцию, реестр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Организационный вклад становится отдельным основанием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Условия справедливой системы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критерии и подтверждающие материалы известны до начала периода;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один результат не учитывается многократно как одинаковый вклад;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есть предел баллов по одной категории, чтобы один крупный результат не вытеснял системную работу;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учитывается личный вклад работника в командный результат;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базовые обязательные действия сами по себе не превращаются в бесконечный набор баллов;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качество подтверждается продуктом, реестром, экспертным листом или решением, а не объёмом описания;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решение принимает комиссия в соответствии с действующим локальным порядком;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выплата зависит от наличия средств и правил школы; баллы не являются гарантированной денежной суммой;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работник может получить разъяснение и подать возражение в установленном порядке;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публичный рейтинг работников не размещается.</w:t>
      </w:r>
    </w:p>
    <w:p>
      <w:pPr>
        <w:pStyle w:val="Heading1"/>
        <w:keepNext/>
      </w:pPr>
      <w:r>
        <w:t>4. Рекомендуемая структура учёта</w:t>
      </w:r>
    </w:p>
    <w:p>
      <w:r>
        <w:rPr>
          <w:rFonts w:ascii="Times New Roman" w:hAnsi="Times New Roman" w:eastAsia="Times New Roman"/>
          <w:b w:val="0"/>
          <w:i w:val="0"/>
        </w:rPr>
        <w:t>Для одного расчётного периода рекомендуется использовать пять блоков. Доли можно адаптировать к действующему положению.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Блок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Рекомендуемая доля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оценивается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A. Наставничество и завершение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35%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Качественно проведённые маршруты, контрольные точки, самостоятельность, следующий шаг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B. Результаты и качество продуктов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25%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Экспертиза, внедрение, публикация, внешний результат, рост сложности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C. Выявление и доступ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15%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Качественные пробы, новые участники, охват неочевидных групп, межпредметность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D. Экспертный и методический вклад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15%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Рецензирование, разработка заданий, обучение коллег, материалы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E. Инфраструктура и координация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10%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Банк возможностей, реестр, конференция, партнёрства, безопасность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Проект балльных критериев</w:t>
      </w:r>
    </w:p>
    <w:p>
      <w:r>
        <w:rPr>
          <w:rFonts w:ascii="Times New Roman" w:hAnsi="Times New Roman" w:eastAsia="Times New Roman"/>
          <w:b w:val="0"/>
          <w:i w:val="0"/>
        </w:rPr>
        <w:t>Ниже приведён пример. Школа устанавливает коэффициент стоимости балла или иной порядок только в действующем локальном акте.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73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90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Баллы</w:t>
            </w:r>
          </w:p>
        </w:tc>
        <w:tc>
          <w:tcPr>
            <w:tcW w:type="dxa" w:w="272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Подтверждение</w:t>
            </w:r>
          </w:p>
        </w:tc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A1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Завершённый индивидуальный маршрут с продуктом/образовательным результатом, рефлексией и следующим шагом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Карта, журнал, продукт, рефлексия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не более 3 маршрутов за период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A2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Завершённый командный маршрут с различимым вкладом участников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6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Командная карта, продукт, индивидуальная рефлексия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не более 1 команды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A3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Маршрут высокого риска/сложности с внешней экспертизой и соблюдением безопасности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+2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Решение Совета, экспертный лист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доплата к A1/A2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A4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Качественная корректировка/пауза, предотвратившая перегрузку или подмену авторства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Решение контрольной точки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 2 случаев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B1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Школьная экспертная оценка продукта на высоком уровне по критериям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Не менее 2 экспертных листов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за разные продукты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B2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Фактическое внедрение продукта в школе/сообществе или подтверждённое использование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3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Акт/отзыв пользователя/аналитика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 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B3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Публикация/отбор в качественную внешнюю программу или площадку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2–4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Официальный результат и карточка A/B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уровень устанавливает комиссия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B4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Победитель/призёр качественного внешнего события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2–8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Официальный протокол, категория события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не суммировать автоматически все этапы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B5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Значимый рост ученика без призового места: переход на более высокий уровень сложности, подтверждённый экспертами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Сравнительные материалы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 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C1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Разработана и проведена качественная открытая проб с критериями наблюдения и следующим шагом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Паспорт пробы, материалы, краткий анализ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 2 проб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C2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Межпредметная проб, проведённая совместно и приведшая к маршрутам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3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Материалы, список решений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баллы делятся/назначаются по вкладу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C3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Выявлен и сопровожден новый участник, ранее не включавшийся в систему, через фактологический сигнал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Сигнал и решение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 3; не за массовую номинацию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C4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Создан доступный формат для ребёнка с особыми условиями или финансовым барьером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Описание адаптации и результат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 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D1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Разовая содержательная экспертиза работы другого наставника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Экспертный лист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 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D2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Предэкспертиза, позволившая устранить существенный риск данных, безопасности или добросовестности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Заключение и решение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 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D3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Разработан методический материал/набор задач, включённый в школьный банк и использованный коллегами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2–4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Материал и факт использования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по решению комиссии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D4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Проведён практикум для педагогов/учеников-наставников с готовым продуктом участников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Программа и материалы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 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E1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Координация секции/направления с соблюдением сроков и без дублирующей отчётности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2–4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План, реестр, аналитика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по роли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E2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Организация школьного демодня/конференции/лаборатории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2–5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Приказ/программа/отчёт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по масштабу и вкладу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E3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Ведение банка возможностей с оценкой качества и итоговой обратной связью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2–4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Актуальный реестр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по роли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E4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Привлечение внешнего эксперта/партнёра с конкретным образовательным результатом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Согласование, отзыв, результат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до 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E5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Качественная аналитика и управленческое улучшение системы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2–4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Записка и принятое решение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5"/>
              </w:rPr>
              <w:t>по роли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Коэффициенты качества</w:t>
      </w:r>
    </w:p>
    <w:p>
      <w:r>
        <w:rPr>
          <w:rFonts w:ascii="Times New Roman" w:hAnsi="Times New Roman" w:eastAsia="Times New Roman"/>
          <w:b w:val="0"/>
          <w:i w:val="0"/>
        </w:rPr>
        <w:t>Вместо механического начисления полных баллов комиссия может применять коэффициент качества.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Коэффициент</w:t>
            </w:r>
          </w:p>
        </w:tc>
        <w:tc>
          <w:tcPr>
            <w:tcW w:type="dxa" w:w="85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Условия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1,0</w:t>
            </w:r>
          </w:p>
        </w:tc>
        <w:tc>
          <w:tcPr>
            <w:tcW w:type="dxa" w:w="8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Все обязательные подтверждения; авторство прозрачно; маршрут завершён; обратная связь и следующий шаг есть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0,75</w:t>
            </w:r>
          </w:p>
        </w:tc>
        <w:tc>
          <w:tcPr>
            <w:tcW w:type="dxa" w:w="8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Результат достигнут, но отдельные элементы процесса или подтверждения недостаточно качественны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0,5</w:t>
            </w:r>
          </w:p>
        </w:tc>
        <w:tc>
          <w:tcPr>
            <w:tcW w:type="dxa" w:w="8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Есть фактический вклад, но работа существенно неполна; принято развивающее решение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</w:t>
            </w:r>
          </w:p>
        </w:tc>
        <w:tc>
          <w:tcPr>
            <w:tcW w:type="dxa" w:w="8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Формальное участие, недостоверные сведения, подмена авторства, отсутствие реального вклада или нарушение обязательных условий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Коэффициент не должен использоваться произвольно; комиссия приводит конкретное основание.</w:t>
      </w:r>
    </w:p>
    <w:p>
      <w:pPr>
        <w:pStyle w:val="Heading1"/>
        <w:keepNext/>
      </w:pPr>
      <w:r>
        <w:t>7. Анти-игровые ограничения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начислять баллы за каждую массовую регистрацию и каждый сертификат участника;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учитывать платный диплом без содержательной экспертизы;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начислять несколько полных результатов за последовательные этапы одного события без нового вклада;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считать автоматическую пересылку положения организацией участия;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учитывать маршрут без контрольных точек, продукта/решения и рефлексии;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при существенной помощи взрослого учитывать только реальный педагогический процесс, а не ложный детский результат;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создавать обязательную «квоту талантливых» для получения баллов;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ограничить максимальные баллы по одному ребёнку и одному мероприятию;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при командной организации распределять баллы по фактическим ролям, а не одинаково автоматически.</w:t>
      </w:r>
    </w:p>
    <w:p>
      <w:pPr>
        <w:pStyle w:val="Heading1"/>
        <w:keepNext/>
      </w:pPr>
      <w:r>
        <w:t>8. Подтверждающие материалы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Вид вклада</w:t>
            </w:r>
          </w:p>
        </w:tc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Достаточное подтверждение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Не требуется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Наставничество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Запись в реестре, карта, 2–6 контрольных точек, итог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Отдельный многостраничный отчёт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Проба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Паспорт/материал, критерии, факт проведения и краткий итог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Фото каждого участника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Экспертиза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Структурированный лист или решение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Свободное эссе эксперта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Внешний результат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Официальный протокол/письмо и карточка события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Копия каждого сертификата при наличии ссылки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Внедрение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Отзыв пользователя, акт, статистика или демонстрация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Формальный приказ, если продукт реально используется и есть другое доказательство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Организация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Программа, распределение ролей, факт проведения, решение по итогам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Большая презентация ради подтверждения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Методический материал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Сам материал и факт использования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Самореклама без продукта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Проект процедуры рассмотрения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Работник проверяет автоматически сформированную/предзаполненную карточку своего вклада и при необходимости добавляет ссылку на подтверждение.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Координатор проверяет полноту факта, но не принимает единолично финансовое решение.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Комиссия рассматривает материалы по единым критериям и фиксирует баллы/коэффициент.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Работнику предоставляется итог и возможность указать фактическую ошибку в установленный срок.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Решение утверждается в соответствии с действующим школьным порядком распределения стимулирующей части.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6. </w:t>
      </w:r>
      <w:r>
        <w:rPr>
          <w:rFonts w:ascii="Times New Roman" w:hAnsi="Times New Roman" w:eastAsia="Times New Roman"/>
          <w:sz w:val="24"/>
        </w:rPr>
        <w:t>Агрегированная аналитика используется для корректировки критериев; индивидуальные баллы не публикуются без основания.</w:t>
      </w:r>
    </w:p>
    <w:p>
      <w:pPr>
        <w:pStyle w:val="Heading1"/>
        <w:keepNext/>
      </w:pPr>
      <w:r>
        <w:t>10. Нематериальная мотивация педагогов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Форма</w:t>
            </w:r>
          </w:p>
        </w:tc>
        <w:tc>
          <w:tcPr>
            <w:tcW w:type="dxa" w:w="737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Как применять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Официальное признание вклада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Благодарность с указанием конкретной роли, а не общая формулировка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Приоритет профессионального развития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Направление на курс, конференцию, стажировку, методическую площадку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Ресурсная поддержка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Приоритет к оборудованию, печати, расходным материалам для обоснованного маршрута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Снижение организационного трения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Помощь с заявками, транспортом, регистрацией и документами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Публичное представление практики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Мастер-класс, публикация, выступление без принуждения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Методическое авторство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Указание разработчика пробы/модуля в школьном банке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Командное признание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Отмечать наставника, эксперта, организатора, координатора отдельно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Защита от перегрузки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Право не брать новый маршрут после лимита — реальная форма поддержки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Мотивация обучающихся</w:t>
      </w:r>
    </w:p>
    <w:p>
      <w:r>
        <w:rPr>
          <w:rFonts w:ascii="Times New Roman" w:hAnsi="Times New Roman" w:eastAsia="Times New Roman"/>
          <w:b w:val="0"/>
          <w:i w:val="0"/>
        </w:rPr>
        <w:t>Для детей также важно не сводить признание к местам.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Основание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Возможная форма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Завершённый маршрут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Сертификат с описанием освоенного способа и продукта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Высокая самостоятельность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Специальная номинация, рекомендация, расширенный маршрут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Полезный продукт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Внедрение, демонстрация пользователю, мини-грант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Качественная экспертиза сверстников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Роль ученического эксперта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Рост после трудности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Номинация «Рост и настойчивость»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Научная коммуникация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Выступление, публикация, ведение мастерской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Готовность помогать младшим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Статус ученика-наставника и конкретная задача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Внешний результат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Признание с указанием уровня и содержательного достижения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Мотивация без материального фонда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предоставлять лучшие доступные ресурсы по прозрачной заявке;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организовать два школьных мини-гранта на расходные материалы;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давать завершившим маршрут приоритет на внешнюю консультацию или профильную программу;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включать учеников в совет и реальные решения;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публиковать не только победителей, а истории процесса и полезные продукты при наличии оснований;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выдавать содержательную рекомендацию, где описаны компетенции и вклад;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создавать статусные роли: эксперт, наставник младших, куратор выставки, автор задания;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проводить персональную встречу с администрацией/партнёром для работ, готовых к внедрению.</w:t>
      </w:r>
    </w:p>
    <w:p>
      <w:pPr>
        <w:pStyle w:val="Heading1"/>
        <w:keepNext/>
      </w:pPr>
      <w:r>
        <w:t>13. Проект формулировки для локального акта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Вариант текста</w:t>
            </w:r>
          </w:p>
          <w:p>
            <w:pPr>
              <w:pStyle w:val="Callout"/>
              <w:spacing w:after="0"/>
            </w:pPr>
            <w:r>
              <w:t>При оценке эффективности работы по выявлению и сопровождению способностей обучающихся учитываются: качество и завершённость индивидуальных и командных образовательных маршрутов; подтверждённая самостоятельность обучающихся; разработка и проведение образовательных проб; экспертный, методический, организационный и координационный вклад; обеспечение доступности; качество продуктов и их внедрение; результаты участия в мероприятиях, прошедших школьную оценку качества. Призовое место не является единственным или обязательным основанием. Конкретные критерии, подтверждения, пределы и порядок распределения устанавливаются приложением к настоящему Положению.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Лист индивидуального учёта вклада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368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Краткое описание факта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Подтверждение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Базовые баллы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Коэффициент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Итог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Перед утверждением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сверить с муниципальными актами об оплате труда и действующим школьным положением;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определить расчётный период и фактический фонд;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согласовать перечень подтверждений и пределы баллов;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получить мнение представительного органа работников в применимом порядке;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проверить отсутствие дискриминационных и невыполнимых критериев;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провести пробный расчёт на 5–7 реальных кейсах;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утвердить порядок возражений и исправления фактических ошибок;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обещать конкретную выплату до принятия финансового решения.</w:t>
      </w: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Документ является методическим проектом, а не готовым финансовым обязательством школы.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критериев мотивации и стимулирования в ШНОУ «Вектор 20»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