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26"/>
        </w:rPr>
        <w:t>МОУ СОШ № 20 г. Твери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2F6F73"/>
          <w:sz w:val="24"/>
        </w:rPr>
        <w:t>Школьное научное общество учащихся «Вектор 20»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9689"/>
      </w:tblGrid>
      <w:tr>
        <w:tc>
          <w:tcPr>
            <w:tcW w:type="dxa" w:w="9689"/>
            <w:shd w:fill="D9EAF7"/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2F6F73"/>
                <w:sz w:val="26"/>
              </w:rPr>
              <w:t>НАВИГАТОР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4E78"/>
                <w:sz w:val="40"/>
              </w:rPr>
              <w:t>Как запустить работающую систему выявления и поддержки способностей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555555"/>
                <w:sz w:val="24"/>
              </w:rPr>
              <w:t>Пошаговая модель для администрации, педагогов, обучающихся и родителей</w:t>
            </w:r>
          </w:p>
        </w:tc>
      </w:tr>
    </w:tbl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2F6F73"/>
          <w:sz w:val="26"/>
        </w:rPr>
        <w:t>Замечать. Пробовать. Развивать. Создавать.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Тверь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2026–2027 учебный год</w:t>
      </w:r>
    </w:p>
    <w:p>
      <w:r>
        <w:br w:type="page"/>
      </w:r>
    </w:p>
    <w:p>
      <w:pPr>
        <w:pStyle w:val="Heading1"/>
        <w:keepNext/>
      </w:pPr>
      <w:r>
        <w:t>1. Для чего нужен этот комплект</w:t>
      </w:r>
    </w:p>
    <w:p>
      <w:r>
        <w:rPr>
          <w:rFonts w:ascii="Times New Roman" w:hAnsi="Times New Roman" w:eastAsia="Times New Roman"/>
          <w:b w:val="0"/>
          <w:i w:val="0"/>
        </w:rPr>
        <w:t>Комплект переводит работу с детьми, проявляющими устойчивый познавательный интерес и высокую учебную, исследовательскую, инженерную, творческую или организационную инициативу, из режима отдельных мероприятий в режим непрерывного сопровождения. Его задача — не увеличить количество отчётов и не создать закрытый клуб «для отличников», а обеспечить понятный путь для каждого ребёнка: заметить сильную сторону, дать безопасную пробу, подобрать наставника, довести замысел до результата и помочь сделать следующий шаг.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9689"/>
      </w:tblGrid>
      <w:tr>
        <w:tc>
          <w:tcPr>
            <w:tcW w:type="dxa" w:w="9689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Ключевая формула</w:t>
            </w:r>
          </w:p>
          <w:p>
            <w:pPr>
              <w:pStyle w:val="Callout"/>
              <w:spacing w:after="0"/>
            </w:pPr>
            <w:r>
              <w:t>Сигнал → проба → профиль интересов и сильных сторон → индивидуальный маршрут → продукт или решение → публичное представление → рефлексия → следующий шаг.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i w:val="0"/>
        </w:rPr>
        <w:t>Внешние олимпиады, конкурсы и конференции используются как инструменты маршрута. Они не подменяют саму систему и не задают её структуру. Ребёнок может развиваться внутри ШНОУ, даже если в конкретном году не участвует во внешнем мероприятии.</w:t>
      </w:r>
    </w:p>
    <w:p>
      <w:pPr>
        <w:pStyle w:val="Heading1"/>
        <w:keepNext/>
      </w:pPr>
      <w:r>
        <w:t>2. Название и смысл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9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Элемент</w:t>
            </w:r>
          </w:p>
        </w:tc>
        <w:tc>
          <w:tcPr>
            <w:tcW w:type="dxa" w:w="306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Решение</w:t>
            </w:r>
          </w:p>
        </w:tc>
        <w:tc>
          <w:tcPr>
            <w:tcW w:type="dxa" w:w="464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Почему это работает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Полное название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Школьное научное общество учащихся «Вектор 20»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Подчёркивает научно-познавательную направленность, но не ограничивает участие одним предметом или видом соревнований.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Краткое название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ШНОУ «Вектор 20»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Легко используется в приказах, календаре, объявлениях и цифровых формах.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Смысл слова «Вектор»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Направление развития и последовательность шагов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Фокус переносится с врождённого ярлыка «одарённый» на развиваемый потенциал и личную траекторию.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Число «20»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Идентичность школы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Создаёт узнаваемость и связывает общество со школьным сообществом.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Девиз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Замечать. Пробовать. Развивать. Создавать.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Отражает весь цикл: выявление, пробу, сопровождение и создание результата.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Архитектура системы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Смысл раздела</w:t>
            </w:r>
          </w:p>
          <w:p>
            <w:pPr>
              <w:pStyle w:val="Callout"/>
              <w:spacing w:after="0"/>
            </w:pPr>
            <w:r>
              <w:t>Работа строится в трёх контурах: массовом, адресном и интенсивном. Это позволяет охватить всех детей, но не перегрузить наставников.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87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Контур</w:t>
            </w:r>
          </w:p>
        </w:tc>
        <w:tc>
          <w:tcPr>
            <w:tcW w:type="dxa" w:w="238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Кого охватывает</w:t>
            </w:r>
          </w:p>
        </w:tc>
        <w:tc>
          <w:tcPr>
            <w:tcW w:type="dxa" w:w="39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Что происходит</w:t>
            </w:r>
          </w:p>
        </w:tc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I. Открытые пробы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Все классы; не менее одной содержательной пробы в полугодие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Короткие исследовательские, проектные, инженерные, аналитические и коммуникационные задания; самовыдвижение; наблюдение педагогов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Сигналы о склонностях и интересах, без ранжирования детей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II. Индивидуальные маршруты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Дети, у которых подтверждены интерес, готовность работать и подходящая образовательная задача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Постановка цели на 8–16 недель, наставник, продукт, контрольные точки, подбор ресурсов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Завершённый продукт, рост компетенций, осознанный выбор следующего шага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III. Интенсивное сопровождение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Обучающиеся с устойчивыми результатами или задачами повышенной сложности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Командные проекты, углублённая подготовка, внешние эксперты, профильные смены, конкурсы и олимпиады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Результаты высокого уровня, экспертное признание, ученическое наставничество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Четыре направления, которые охватывают всё поле возможностей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1. </w:t>
      </w:r>
      <w:r>
        <w:rPr>
          <w:rFonts w:ascii="Times New Roman" w:hAnsi="Times New Roman" w:eastAsia="Times New Roman"/>
          <w:sz w:val="24"/>
        </w:rPr>
        <w:t>«Исследую»: наблюдение, вопрос, гипотеза, поиск и анализ источников, эксперимент, доказательный вывод.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2. </w:t>
      </w:r>
      <w:r>
        <w:rPr>
          <w:rFonts w:ascii="Times New Roman" w:hAnsi="Times New Roman" w:eastAsia="Times New Roman"/>
          <w:sz w:val="24"/>
        </w:rPr>
        <w:t>«Проектирую»: создание продукта или решения: инженерного, цифрового, социального, экологического, культурного.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3. </w:t>
      </w:r>
      <w:r>
        <w:rPr>
          <w:rFonts w:ascii="Times New Roman" w:hAnsi="Times New Roman" w:eastAsia="Times New Roman"/>
          <w:sz w:val="24"/>
        </w:rPr>
        <w:t>«Решаю»: сложные предметные и межпредметные задачи, олимпиадное мышление, моделирование, программирование.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4. </w:t>
      </w:r>
      <w:r>
        <w:rPr>
          <w:rFonts w:ascii="Times New Roman" w:hAnsi="Times New Roman" w:eastAsia="Times New Roman"/>
          <w:sz w:val="24"/>
        </w:rPr>
        <w:t>«Объясняю»: научная коммуникация, популяризация знаний, дебаты, учебные медиа, публичное выступление.</w:t>
      </w:r>
    </w:p>
    <w:p>
      <w:r>
        <w:rPr>
          <w:rFonts w:ascii="Times New Roman" w:hAnsi="Times New Roman" w:eastAsia="Times New Roman"/>
          <w:b w:val="0"/>
          <w:i w:val="0"/>
        </w:rPr>
        <w:t>Один маршрут может сочетать несколько направлений. Например, ученик исследует качество воды, проектирует датчик, программирует обработку данных и готовит научно-популярное выступление.</w:t>
      </w:r>
    </w:p>
    <w:p>
      <w:pPr>
        <w:pStyle w:val="Heading1"/>
        <w:keepNext/>
      </w:pPr>
      <w:r>
        <w:t>5. Возрастная логика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Возрастной этап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Главная задача</w:t>
            </w:r>
          </w:p>
        </w:tc>
        <w:tc>
          <w:tcPr>
            <w:tcW w:type="dxa" w:w="317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Основной формат</w:t>
            </w:r>
          </w:p>
        </w:tc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Недопустимая ошибка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1–4 классы — «Первые открытия»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Сохранить любопытство и научить задавать вопросы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Мини-исследования, наблюдения, коллекции, конструирование, устная защита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Требовать оформления «как у взрослых» и оценивать только самостоятельность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5–6 классы — «Проба сил»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Дать разнообразные пробы и выявить устойчивые интересы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Короткие спринты 2–6 недель; в инженерных классах — стопроцентный охват хотя бы одной пробой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Сразу закреплять ребёнка за одним предметом или конкурсом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7–9 классы — «Выбор траектории»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Научить выбирать проблему, планировать работу и отвечать за этапы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Маршруты 8–16 недель, командные и индивидуальные проекты, предметные интенсивы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Подменять работу наставника выполнением проекта за ребёнка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10–11 классы — «Авторство»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Довести до самостоятельного авторского результата и профессиональной пробы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Длительные исследования, инженерные решения, публикации, экспертные защиты, наставничество младших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Сводить систему к портфолио поступления и гонке дипломов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Кто и что делает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Роль</w:t>
            </w:r>
          </w:p>
        </w:tc>
        <w:tc>
          <w:tcPr>
            <w:tcW w:type="dxa" w:w="538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Обязательный результат</w:t>
            </w:r>
          </w:p>
        </w:tc>
        <w:tc>
          <w:tcPr>
            <w:tcW w:type="dxa" w:w="266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Реалистичная нагрузка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Директор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Утверждает локальные акты, состав совета, ресурсы и порядок стимулирования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Управленческие решения и итоговый контроль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Куратор от администрации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Обеспечивает работу цикла, снимает организационные барьеры, проводит два мониторинга в год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 координационное совещание в месяц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Координатор ШНОУ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Ведёт единый реестр, банк возможностей, календарь, маршрутизацию и коммуникацию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Регулярная функция, которую следует закрепить приказом и учесть при распределении нагрузки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Предметные координаторы / руководители МО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Организуют пробы в предметной области, распределяют наставников, проводят промежуточную экспертизу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2 диагностических цикла и 2 коротких заседания МО в год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Каждый педагог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Замечает сигналы; проводит или предоставляет одну пробу; передаёт одну краткую запись; выбирает посильную роль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Минимум, ограниченный по времени и форме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Наставник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Ведёт конкретный маршрут до продукта и рефлексии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более 3 индивидуальных маршрутов или 1 команды одновременно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Классный руководитель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Информирует детей и семьи, помогает не потерять ребёнка между предметами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Без предметной подготовки и дублирующей отчётности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Педагог-психолог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Консультирует по мотивации, перегрузке, тревожности, командной работе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 запросу и на контрольных точках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Ученический совет ШНОУ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Организует коммуникацию, взаимопомощь, демонстрационные события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 встреча в месяц; реальные задачи, а не декоративный статус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Родитель / законный представитель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Поддерживает режим и самостоятельность, сообщает о внешних интересах ребёнка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выполняет работу вместо ребёнка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Модель участия педагогов: обязательный минимум и добровольное углубление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Принцип распределения нагрузки</w:t>
            </w:r>
          </w:p>
          <w:p>
            <w:pPr>
              <w:pStyle w:val="Callout"/>
              <w:spacing w:after="0"/>
            </w:pPr>
            <w:r>
              <w:t>Все педагоги участвуют в выявлении и предоставлении образовательных проб. Длительное наставничество берут подготовленные и мотивированные педагоги из утверждённого пула. Это устраняет ситуацию, когда несколько инициативных сотрудников выполняют всю работу, а остальных пытаются принудительно сделать наставниками.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Уровень участия</w:t>
            </w:r>
          </w:p>
        </w:tc>
        <w:tc>
          <w:tcPr>
            <w:tcW w:type="dxa" w:w="521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Что входит</w:t>
            </w:r>
          </w:p>
        </w:tc>
        <w:tc>
          <w:tcPr>
            <w:tcW w:type="dxa" w:w="260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Как фиксируется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Базовый — обязателен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Две волны наблюдения в год; одна предметная или межпредметная проба; до трёх кандидатур с кратким обоснованием; один экспертный или организационный вклад в полугодие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Одна электронная форма на класс/группу, без отдельного отчёта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Наставнический — по назначению и согласию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Маршрут, встречи, обратная связь, контроль самостоятельности, подготовка к представлению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Маршрутная карта и краткий журнал контрольных точек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Экспертный — по компетенции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Разовая консультация, рецензия, экспертиза продукта, мастер-класс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Отметка в реестре и лист эксперта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Координационный — по приказу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Банк возможностей, мероприятия, данные, аналитика, сопровождение наставников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Единый реестр и полугодовая аналитическая записка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Как запускается маршрут ребёнка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1. </w:t>
      </w:r>
      <w:r>
        <w:rPr>
          <w:rFonts w:ascii="Times New Roman" w:hAnsi="Times New Roman" w:eastAsia="Times New Roman"/>
          <w:sz w:val="24"/>
        </w:rPr>
        <w:t>Появляется сигнал: наблюдение педагога, результат пробы, самостоятельная инициатива ребёнка, рекомендация семьи, продукт или внешнее достижение.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2. </w:t>
      </w:r>
      <w:r>
        <w:rPr>
          <w:rFonts w:ascii="Times New Roman" w:hAnsi="Times New Roman" w:eastAsia="Times New Roman"/>
          <w:sz w:val="24"/>
        </w:rPr>
        <w:t>Ребёнок получает ещё одну подтверждающую пробу или короткую беседу. Оценка ставится не личности, а готовности к конкретной задаче.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3. </w:t>
      </w:r>
      <w:r>
        <w:rPr>
          <w:rFonts w:ascii="Times New Roman" w:hAnsi="Times New Roman" w:eastAsia="Times New Roman"/>
          <w:sz w:val="24"/>
        </w:rPr>
        <w:t>Формируется профиль: интересы, предпочитаемый формат работы, сильные стороны, дефициты, допустимая нагрузка.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4. </w:t>
      </w:r>
      <w:r>
        <w:rPr>
          <w:rFonts w:ascii="Times New Roman" w:hAnsi="Times New Roman" w:eastAsia="Times New Roman"/>
          <w:sz w:val="24"/>
        </w:rPr>
        <w:t>На коротком заседании команды сопровождения выбирается уровень поддержки и наставник.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5. </w:t>
      </w:r>
      <w:r>
        <w:rPr>
          <w:rFonts w:ascii="Times New Roman" w:hAnsi="Times New Roman" w:eastAsia="Times New Roman"/>
          <w:sz w:val="24"/>
        </w:rPr>
        <w:t>Ученик совместно с наставником заполняет маршрут на 8–16 недель: цель, продукт, этапы, ресурсы, контрольные точки и критерии завершения.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6. </w:t>
      </w:r>
      <w:r>
        <w:rPr>
          <w:rFonts w:ascii="Times New Roman" w:hAnsi="Times New Roman" w:eastAsia="Times New Roman"/>
          <w:sz w:val="24"/>
        </w:rPr>
        <w:t>Каждые 2–4 недели проводится короткая контрольная встреча. Маршрут можно сузить, изменить, поставить на паузу или завершить без санкций.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7. </w:t>
      </w:r>
      <w:r>
        <w:rPr>
          <w:rFonts w:ascii="Times New Roman" w:hAnsi="Times New Roman" w:eastAsia="Times New Roman"/>
          <w:sz w:val="24"/>
        </w:rPr>
        <w:t>Работа завершается продуктом и публичным представлением подходящего уровня, а не обязательным дипломом.</w:t>
      </w:r>
    </w:p>
    <w:p>
      <w:pPr>
        <w:spacing w:after="40"/>
        <w:ind w:left="397" w:hanging="397"/>
      </w:pPr>
      <w:r>
        <w:rPr>
          <w:rFonts w:ascii="Times New Roman" w:hAnsi="Times New Roman" w:eastAsia="Times New Roman"/>
          <w:b/>
          <w:sz w:val="24"/>
        </w:rPr>
        <w:t xml:space="preserve">8. </w:t>
      </w:r>
      <w:r>
        <w:rPr>
          <w:rFonts w:ascii="Times New Roman" w:hAnsi="Times New Roman" w:eastAsia="Times New Roman"/>
          <w:sz w:val="24"/>
        </w:rPr>
        <w:t>После рефлексии определяется следующий шаг: новый маршрут, углубление, внешнее мероприятие, роль ученика-наставника или осознанная пауза.</w:t>
      </w:r>
    </w:p>
    <w:p>
      <w:pPr>
        <w:pStyle w:val="Heading1"/>
        <w:keepNext/>
      </w:pPr>
      <w:r>
        <w:t>9. Как школа фильтрует поток конкурсов</w:t>
      </w:r>
    </w:p>
    <w:p>
      <w:r>
        <w:rPr>
          <w:rFonts w:ascii="Times New Roman" w:hAnsi="Times New Roman" w:eastAsia="Times New Roman"/>
          <w:b w:val="0"/>
          <w:i w:val="0"/>
        </w:rPr>
        <w:t>Координатор не пересылает педагогам все входящие письма. Каждая возможность оценивается по восьми критериям: соответствие направлениям ШНОУ, качество организатора и экспертизы, образовательная ценность, возрастная адекватность, прозрачность условий, разумность нагрузки и сроков, безопасность и работа с данными, наличие понятного следующего шага.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Категория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Баллы</w:t>
            </w:r>
          </w:p>
        </w:tc>
        <w:tc>
          <w:tcPr>
            <w:tcW w:type="dxa" w:w="56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Решение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A — рекомендовано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13–16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Включить в школьный календарь, назначить координатора и предоставить организационную поддержку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B — по запросу маршрута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9–12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Предлагать только подходящим детям и наставникам; школа не организует массовое участие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C — не продвигается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0–8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размещать в общем информационном потоке; участие возможно частным образом вне школьной системы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Показатели, по которым видно, что система работает</w:t>
      </w:r>
    </w:p>
    <w:p>
      <w:r>
        <w:rPr>
          <w:rFonts w:ascii="Times New Roman" w:hAnsi="Times New Roman" w:eastAsia="Times New Roman"/>
          <w:b w:val="0"/>
          <w:i w:val="0"/>
        </w:rPr>
        <w:t>Главный результат — не число разосланных положений и не сумма дипломов. Для первого года рекомендуется утвердить ограниченный набор показателей.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Группа показателей</w:t>
            </w:r>
          </w:p>
        </w:tc>
        <w:tc>
          <w:tcPr>
            <w:tcW w:type="dxa" w:w="368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Базовый ориентир первого года</w:t>
            </w:r>
          </w:p>
        </w:tc>
        <w:tc>
          <w:tcPr>
            <w:tcW w:type="dxa" w:w="39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Что показывает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Охват пробами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менее 60% обучающихся; 100% 5–6 инженерных классов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Система действительно ищет потенциал, а не работает с заранее известными победителями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Выявление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15–20% обучающихся имеют заполненный профиль интересов/сильных сторон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Педагоги замечают разные типы способностей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Активные маршруты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8–12% обучающихся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Школа способна обеспечить адресное сопровождение без имитации массовости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Завершение маршрутов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менее 70% маршрутов завершаются продуктом, решением или обоснованной корректировкой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Есть управляемый процесс, а не только стартовые заявки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Распределение нагрузки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менее 80% предметных областей представлены; ни один наставник не перегружен сверх установленного лимита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Система не держится на двух-трёх людях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Качество опыта ребёнка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менее 75% участников отмечают понятность цели, наличие обратной связи и право выбора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Поддержка не превращается в давление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Внешние результаты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Анализируется динамика уровней участия и качества работ, а не только призовые места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Соревнования используются осмысленно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Что нужно утвердить до старта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Положение о ШНОУ и порядок выявления и сопровождения.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Состав Совета ШНОУ, координатор и предметные координаторы.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Единый годовой план с двумя циклами выявления и двумя маршрутными циклами.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Пул наставников и ограничение наставнической нагрузки.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Единые формы учёта и правила доступа к реестру.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Порядок отбора внешних возможностей.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Школьную итоговую конференцию / фестиваль результатов.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Формы нематериального признания и, при наличии ресурсов, критерии стимулирования работников в рамках действующих локальных актов.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Информацию для обучающихся и родителей.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Порядок использования имени, изображения, публикации работ и персональных данных в соответствии с локальными актами школы.</w:t>
      </w:r>
    </w:p>
    <w:p>
      <w:pPr>
        <w:pStyle w:val="Heading1"/>
        <w:keepNext/>
      </w:pPr>
      <w:r>
        <w:t>12. План первых 90 дней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Период</w:t>
            </w:r>
          </w:p>
        </w:tc>
        <w:tc>
          <w:tcPr>
            <w:tcW w:type="dxa" w:w="578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Действия</w:t>
            </w:r>
          </w:p>
        </w:tc>
        <w:tc>
          <w:tcPr>
            <w:tcW w:type="dxa" w:w="260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Дни 1–15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Утверждение модели; назначение координатора; ревизия кружков, проектов, олимпиад и педагогических компетенций; настройка реестра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Понятны ресурсы, роли и границы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Дни 16–30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Педсовет; инструктаж МО; публикация путеводителей; набор пула наставников; формирование банка первых проб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Педагоги знают обязательный минимум, дети знают способы входа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Дни 31–60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Первая волна открытых проб; самовыдвижение; короткие собеседования; фиксация сигналов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Сформирован первичный пул участников без ранжирования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Дни 61–75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Маршрутизационные заседания; назначение наставников; составление маршрутов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Запущены реальные индивидуальные и командные задачи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Дни 76–90</w:t>
            </w:r>
          </w:p>
        </w:tc>
        <w:tc>
          <w:tcPr>
            <w:tcW w:type="dxa" w:w="57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Первые контрольные точки; корректировка нагрузки; демонстрационная встреча «Что я пробую»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Система даёт ранний видимый результат и исправляет организационные сбои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Комплект файлов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№</w:t>
            </w:r>
          </w:p>
        </w:tc>
        <w:tc>
          <w:tcPr>
            <w:tcW w:type="dxa" w:w="311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Файл</w:t>
            </w:r>
          </w:p>
        </w:tc>
        <w:tc>
          <w:tcPr>
            <w:tcW w:type="dxa" w:w="640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01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Концепция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Объясняет модель, принципы, ресурсы, риски и логику внедрения.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02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Положение о ШНОУ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Основной локальный акт.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03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Проект приказа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Запускает систему и распределяет ответственность.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04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Порядок выявления и сопровождения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Описывает сигналы, пробы, профили и маршрутизацию.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05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Положение о наставничестве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Регулирует назначение наставников, взаимодействие и контроль нагрузки.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06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Положение о конференции «Вектор»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Фиксирует итоговый школьный формат представления результатов.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07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Регламент банка возможностей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Фильтрует внешний поток олимпиад, конкурсов и программ.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08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Годовой план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Даёт календарь действий на 2026–2027 учебный год.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09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Методический пакет педагога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Содержит сценарии проб, чек-листы, алгоритмы и готовые формулировки.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10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Путеводитель ученика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Объясняет вход, направления, маршрут, права и правила.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11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Памятка родителям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Показывает, как поддержать интерес без давления и подмены работы.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12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Формы и шаблоны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Готовые бланки для всех этапов.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13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Электронный реестр и мониторинг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Единая таблица маршрутов, возможностей, наставников и показателей.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14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Презентация для педсовета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Сценарий принятия модели коллективом.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15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Проект критериев стимулирования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Процессные и результативные критерии без привязки только к дипломам.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Управленческие запреты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создавать публичный рейтинг «одарённых детей» и не закреплять за ребёнком постоянный ярлык.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считать отличную отметку достаточным или обязательным условием входа.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включать ребёнка в мероприятие только потому, что школе нужен участник.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требовать от каждого педагога длительного наставничества.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создавать отдельные бумажные отчёты, если информация уже есть в едином реестре.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оценивать наставника только по призовым местам: результат зависит от исходного уровня, возраста, сложности задачи и качества внешней экспертизы.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публиковать сведения и работы детей автоматически; использовать действующие в школе правовые основания и согласия.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 сохранять маршрут без пересмотра, если он стал чрезмерным, потерял смысл или не соответствует интересу ребёнка.</w:t>
      </w:r>
    </w:p>
    <w:p>
      <w:pPr>
        <w:pStyle w:val="Heading1"/>
        <w:keepNext/>
      </w:pPr>
      <w:r>
        <w:t>15. Решение, которое предлагается принять на педсовете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9689"/>
      </w:tblGrid>
      <w:tr>
        <w:tc>
          <w:tcPr>
            <w:tcW w:type="dxa" w:w="9689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Проект управленческого решения</w:t>
            </w:r>
          </w:p>
          <w:p>
            <w:pPr>
              <w:pStyle w:val="Callout"/>
              <w:spacing w:after="0"/>
            </w:pPr>
            <w:r>
              <w:t>С 1 сентября 2026 года в школе вводится единая система выявления и сопровождения познавательно мотивированных и способных обучающихся в форме ШНОУ «Вектор 20». Все педагогические работники участвуют в базовом контуре выявления и образовательных проб; длительное наставничество организуется через утверждённый пул. Учёт ведётся в едином защищённом реестре; внешние мероприятия включаются в работу после оценки качества и соответствия индивидуальным маршрутам.</w:t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Times New Roman" w:hAnsi="Times New Roman" w:eastAsia="Times New Roman"/>
          <w:b w:val="0"/>
          <w:i/>
        </w:rPr>
        <w:t>Перед утверждением необходимо заменить реквизиты, Ф.И.О. ответственных, даты, номера приказов и согласовать положения с действующими локальными актами школы.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color w:val="777777"/>
        <w:sz w:val="18"/>
      </w:rPr>
      <w:t xml:space="preserve">2026–2027 учебный год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  <w:pBdr>
        <w:bottom w:val="single" w:sz="4" w:space="1" w:color="B7B7B7"/>
      </w:pBdr>
    </w:pPr>
    <w:r>
      <w:rPr>
        <w:rFonts w:ascii="Times New Roman" w:hAnsi="Times New Roman" w:eastAsia="Times New Roman"/>
        <w:color w:val="666666"/>
        <w:sz w:val="18"/>
      </w:rPr>
      <w:t>МОУ СОШ № 20 г. Твери  |  ШНОУ «Вектор 20»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Indent">
    <w:name w:val="No Indent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entered">
    <w:name w:val="Centered"/>
    <w:basedOn w:val="Normal"/>
    <w:pPr>
      <w:ind w:firstLine="0"/>
      <w:jc w:val="center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aptionCustom">
    <w:name w:val="Caption Custom"/>
    <w:basedOn w:val="Normal"/>
    <w:pPr>
      <w:ind w:firstLine="0"/>
      <w:jc w:val="center"/>
    </w:pPr>
    <w:rPr>
      <w:rFonts w:ascii="Times New Roman" w:hAnsi="Times New Roman" w:eastAsia="Times New Roman"/>
      <w:b w:val="0"/>
      <w:color w:val="666666"/>
      <w:sz w:val="20"/>
    </w:rPr>
  </w:style>
  <w:style w:type="paragraph" w:customStyle="1" w:styleId="Small">
    <w:name w:val="Small"/>
    <w:basedOn w:val="Normal"/>
    <w:pPr>
      <w:ind w:firstLine="0"/>
    </w:pPr>
    <w:rPr>
      <w:rFonts w:ascii="Times New Roman" w:hAnsi="Times New Roman" w:eastAsia="Times New Roman"/>
      <w:b w:val="0"/>
      <w:color w:val="555555"/>
      <w:sz w:val="20"/>
    </w:rPr>
  </w:style>
  <w:style w:type="paragraph" w:customStyle="1" w:styleId="Callout">
    <w:name w:val="Callout"/>
    <w:basedOn w:val="Normal"/>
    <w:pPr>
      <w:ind w:firstLine="0"/>
    </w:pPr>
    <w:rPr>
      <w:rFonts w:ascii="Times New Roman" w:hAnsi="Times New Roman" w:eastAsia="Times New Roman"/>
      <w:b w:val="0"/>
      <w:color w:val="1F1F1F"/>
      <w:sz w:val="22"/>
    </w:rPr>
  </w:style>
  <w:style w:type="paragraph" w:customStyle="1" w:styleId="Signature">
    <w:name w:val="Signature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Навигатор по запуску ШНОУ «Вектор 20»</dc:title>
  <dc:subject>Школьное научное общество учащихся «Вектор 20»</dc:subject>
  <dc:creator>МОУ СОШ № 20 г. Твери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