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drawing>
          <wp:inline distT="0" distB="0" distL="0" distR="0">
            <wp:extent cx="2667000" cy="2152650"/>
            <wp:effectExtent t="0" r="0" b="0" l="0"/>
            <wp:docPr id="1" name="GCOC Logo" descr="Global Clinical Outcomes Collaborative logo" title="GCO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152650"/>
                    </a:xfrm>
                    <a:prstGeom prst="rect">
                      <a:avLst/>
                    </a:prstGeom>
                  </pic:spPr>
                </pic:pic>
              </a:graphicData>
            </a:graphic>
          </wp:inline>
        </w:drawing>
      </w:r>
    </w:p>
    <w:p>
      <w:pPr>
        <w:spacing w:after="80"/>
        <w:jc w:val="center"/>
      </w:pPr>
      <w:r>
        <w:rPr>
          <w:rFonts w:ascii="Arial" w:cs="Arial" w:eastAsia="Arial" w:hAnsi="Arial"/>
          <w:b/>
          <w:bCs/>
          <w:color w:val="0E2A5A"/>
          <w:sz w:val="36"/>
          <w:szCs w:val="36"/>
        </w:rPr>
        <w:t xml:space="preserve">GLOBAL CLINICAL OUTCOMES COLLABORATIVE</w:t>
      </w:r>
    </w:p>
    <w:p>
      <w:pPr>
        <w:spacing w:after="480"/>
        <w:jc w:val="center"/>
      </w:pPr>
      <w:r>
        <w:rPr>
          <w:rFonts w:ascii="Arial" w:cs="Arial" w:eastAsia="Arial" w:hAnsi="Arial"/>
          <w:i/>
          <w:iCs/>
          <w:color w:val="0E6B6E"/>
          <w:sz w:val="28"/>
          <w:szCs w:val="28"/>
        </w:rPr>
        <w:t xml:space="preserve">Brand Identity Guide</w:t>
      </w:r>
    </w:p>
    <w:p>
      <w:pPr>
        <w:spacing w:after="240"/>
        <w:jc w:val="center"/>
      </w:pPr>
      <w:r>
        <w:rPr>
          <w:rFonts w:ascii="Arial" w:cs="Arial" w:eastAsia="Arial" w:hAnsi="Arial"/>
          <w:b/>
          <w:bCs/>
          <w:color w:val="22A7C7"/>
          <w:sz w:val="26"/>
          <w:szCs w:val="26"/>
        </w:rPr>
        <w:t xml:space="preserve">Better Recovery Begins with Better Evidence.</w:t>
      </w:r>
    </w:p>
    <w:p>
      <w:pPr>
        <w:spacing w:after="0"/>
        <w:jc w:val="center"/>
      </w:pPr>
      <w:r>
        <w:rPr>
          <w:rFonts w:ascii="Arial" w:cs="Arial" w:eastAsia="Arial" w:hAnsi="Arial"/>
          <w:color w:val="5A6E73"/>
          <w:sz w:val="18"/>
          <w:szCs w:val="18"/>
        </w:rPr>
        <w:t xml:space="preserve">Version 1.1  •  Bellevue, WA</w:t>
      </w:r>
    </w:p>
    <w:p>
      <w:r>
        <w:br w:type="page"/>
      </w:r>
    </w:p>
    <w:p>
      <w:pPr>
        <w:pStyle w:val="Heading1"/>
        <w:spacing w:after="160" w:before="360"/>
      </w:pPr>
      <w:r>
        <w:rPr>
          <w:rFonts w:ascii="Arial" w:cs="Arial" w:eastAsia="Arial" w:hAnsi="Arial"/>
          <w:b/>
          <w:bCs/>
          <w:color w:val="0E2A5A"/>
          <w:sz w:val="32"/>
          <w:szCs w:val="32"/>
        </w:rPr>
        <w:t xml:space="preserve">What GCOC Stands For</w:t>
      </w:r>
    </w:p>
    <w:p>
      <w:pPr>
        <w:spacing w:after="120" w:line="300"/>
        <w:jc w:val="left"/>
      </w:pPr>
      <w:r>
        <w:rPr>
          <w:rFonts w:ascii="Arial" w:cs="Arial" w:eastAsia="Arial" w:hAnsi="Arial"/>
          <w:b w:val="false"/>
          <w:bCs w:val="false"/>
          <w:i w:val="false"/>
          <w:iCs w:val="false"/>
          <w:color w:val="222222"/>
          <w:sz w:val="22"/>
          <w:szCs w:val="22"/>
        </w:rPr>
        <w:t xml:space="preserve">Recovery is one of the most important phases of care. Yet today, it remains one of the least consistently measured, least transparently compared, and least collaboratively governed.</w:t>
      </w:r>
    </w:p>
    <w:p>
      <w:pPr>
        <w:spacing w:after="120" w:line="300"/>
        <w:jc w:val="left"/>
      </w:pPr>
      <w:r>
        <w:rPr>
          <w:rFonts w:ascii="Arial" w:cs="Arial" w:eastAsia="Arial" w:hAnsi="Arial"/>
          <w:b w:val="false"/>
          <w:bCs w:val="false"/>
          <w:i w:val="false"/>
          <w:iCs w:val="false"/>
          <w:color w:val="222222"/>
          <w:sz w:val="22"/>
          <w:szCs w:val="22"/>
        </w:rPr>
        <w:t xml:space="preserve">Global Clinical Outcomes Collaborative (GCOC) exists to close that gap. As an independent nonprofit, GCOC provides a trusted framework for multicenter outcomes research, responsible data stewardship, and patient-centered benchmarking across spine and musculoskeletal care.</w:t>
      </w:r>
    </w:p>
    <w:p>
      <w:pPr>
        <w:spacing w:after="120" w:line="300"/>
        <w:jc w:val="left"/>
      </w:pPr>
      <w:r>
        <w:rPr>
          <w:rFonts w:ascii="Arial" w:cs="Arial" w:eastAsia="Arial" w:hAnsi="Arial"/>
          <w:b w:val="false"/>
          <w:bCs w:val="false"/>
          <w:i w:val="false"/>
          <w:iCs w:val="false"/>
          <w:color w:val="222222"/>
          <w:sz w:val="22"/>
          <w:szCs w:val="22"/>
        </w:rPr>
        <w:t xml:space="preserve">By bringing together surgeons, hospitals, universities, and researchers, GCOC turns real-world recovery into actionable evidence — so that better care is guided not by isolated experience alone, but by shared learning in the public interest.</w:t>
      </w:r>
    </w:p>
    <w:p>
      <w:pPr>
        <w:pBdr>
          <w:left w:val="single" w:color="22A7C7" w:sz="18" w:space="12"/>
        </w:pBdr>
        <w:spacing w:after="200" w:before="160" w:line="320"/>
        <w:ind w:left="360"/>
        <w:jc w:val="left"/>
      </w:pPr>
      <w:r>
        <w:rPr>
          <w:rFonts w:ascii="Arial" w:cs="Arial" w:eastAsia="Arial" w:hAnsi="Arial"/>
          <w:i/>
          <w:iCs/>
          <w:color w:val="0E2A5A"/>
          <w:sz w:val="24"/>
          <w:szCs w:val="24"/>
        </w:rPr>
        <w:t xml:space="preserve">Better Recovery Begins with Better Evidence.</w:t>
      </w:r>
    </w:p>
    <w:p>
      <w:pPr>
        <w:pStyle w:val="Heading1"/>
        <w:spacing w:after="160" w:before="360"/>
      </w:pPr>
      <w:r>
        <w:rPr>
          <w:rFonts w:ascii="Arial" w:cs="Arial" w:eastAsia="Arial" w:hAnsi="Arial"/>
          <w:b/>
          <w:bCs/>
          <w:color w:val="0E2A5A"/>
          <w:sz w:val="32"/>
          <w:szCs w:val="32"/>
        </w:rPr>
        <w:t xml:space="preserve">Core Values</w:t>
      </w:r>
    </w:p>
    <w:p>
      <w:pPr>
        <w:spacing w:after="120" w:line="300"/>
        <w:jc w:val="left"/>
      </w:pPr>
      <w:r>
        <w:rPr>
          <w:rFonts w:ascii="Arial" w:cs="Arial" w:eastAsia="Arial" w:hAnsi="Arial"/>
          <w:b w:val="false"/>
          <w:bCs w:val="false"/>
          <w:i w:val="false"/>
          <w:iCs w:val="false"/>
          <w:color w:val="222222"/>
          <w:sz w:val="22"/>
          <w:szCs w:val="22"/>
        </w:rPr>
        <w:t xml:space="preserve">Three principles guide every project, partnership, and publication GCOC takes 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E2A5A" w:val="clear"/>
            <w:tcMar>
              <w:top w:type="dxa" w:w="240"/>
              <w:left w:type="dxa" w:w="240"/>
              <w:bottom w:type="dxa" w:w="240"/>
              <w:right w:type="dxa" w:w="240"/>
            </w:tcMar>
          </w:tcPr>
          <w:p>
            <w:pPr>
              <w:spacing w:after="100"/>
            </w:pPr>
            <w:r>
              <w:rPr>
                <w:rFonts w:ascii="Arial" w:cs="Arial" w:eastAsia="Arial" w:hAnsi="Arial"/>
                <w:b/>
                <w:bCs/>
                <w:color w:val="FFFFFF"/>
                <w:sz w:val="26"/>
                <w:szCs w:val="26"/>
              </w:rPr>
              <w:t xml:space="preserve">TRUST</w:t>
            </w:r>
          </w:p>
          <w:p>
            <w:pPr>
              <w:spacing w:after="0" w:line="280"/>
            </w:pPr>
            <w:r>
              <w:rPr>
                <w:rFonts w:ascii="Arial" w:cs="Arial" w:eastAsia="Arial" w:hAnsi="Arial"/>
                <w:color w:val="FFFFFF"/>
                <w:sz w:val="20"/>
                <w:szCs w:val="20"/>
              </w:rPr>
              <w:t xml:space="preserve">Independent governance and responsible stewardship of collaborative clinical data.</w:t>
            </w:r>
          </w:p>
        </w:tc>
        <w:tc>
          <w:tcPr>
            <w:tcW w:type="dxa" w:w="3120"/>
            <w:tcBorders>
              <w:top w:val="none" w:color="FFFFFF" w:sz="0"/>
              <w:left w:val="none" w:color="FFFFFF" w:sz="0"/>
              <w:bottom w:val="none" w:color="FFFFFF" w:sz="0"/>
              <w:right w:val="none" w:color="FFFFFF" w:sz="0"/>
            </w:tcBorders>
            <w:shd w:fill="0E6B6E" w:val="clear"/>
            <w:tcMar>
              <w:top w:type="dxa" w:w="240"/>
              <w:left w:type="dxa" w:w="240"/>
              <w:bottom w:type="dxa" w:w="240"/>
              <w:right w:type="dxa" w:w="240"/>
            </w:tcMar>
          </w:tcPr>
          <w:p>
            <w:pPr>
              <w:spacing w:after="100"/>
            </w:pPr>
            <w:r>
              <w:rPr>
                <w:rFonts w:ascii="Arial" w:cs="Arial" w:eastAsia="Arial" w:hAnsi="Arial"/>
                <w:b/>
                <w:bCs/>
                <w:color w:val="FFFFFF"/>
                <w:sz w:val="26"/>
                <w:szCs w:val="26"/>
              </w:rPr>
              <w:t xml:space="preserve">RIGOR</w:t>
            </w:r>
          </w:p>
          <w:p>
            <w:pPr>
              <w:spacing w:after="0" w:line="280"/>
            </w:pPr>
            <w:r>
              <w:rPr>
                <w:rFonts w:ascii="Arial" w:cs="Arial" w:eastAsia="Arial" w:hAnsi="Arial"/>
                <w:color w:val="FFFFFF"/>
                <w:sz w:val="20"/>
                <w:szCs w:val="20"/>
              </w:rPr>
              <w:t xml:space="preserve">Scientifically grounded outcomes research, transparent methods, and meaningful benchmarking.</w:t>
            </w:r>
          </w:p>
        </w:tc>
        <w:tc>
          <w:tcPr>
            <w:tcW w:type="dxa" w:w="3120"/>
            <w:tcBorders>
              <w:top w:val="none" w:color="FFFFFF" w:sz="0"/>
              <w:left w:val="none" w:color="FFFFFF" w:sz="0"/>
              <w:bottom w:val="none" w:color="FFFFFF" w:sz="0"/>
              <w:right w:val="none" w:color="FFFFFF" w:sz="0"/>
            </w:tcBorders>
            <w:shd w:fill="45BE6A" w:val="clear"/>
            <w:tcMar>
              <w:top w:type="dxa" w:w="240"/>
              <w:left w:type="dxa" w:w="240"/>
              <w:bottom w:type="dxa" w:w="240"/>
              <w:right w:type="dxa" w:w="240"/>
            </w:tcMar>
          </w:tcPr>
          <w:p>
            <w:pPr>
              <w:spacing w:after="100"/>
            </w:pPr>
            <w:r>
              <w:rPr>
                <w:rFonts w:ascii="Arial" w:cs="Arial" w:eastAsia="Arial" w:hAnsi="Arial"/>
                <w:b/>
                <w:bCs/>
                <w:color w:val="FFFFFF"/>
                <w:sz w:val="26"/>
                <w:szCs w:val="26"/>
              </w:rPr>
              <w:t xml:space="preserve">TOGETHER</w:t>
            </w:r>
          </w:p>
          <w:p>
            <w:pPr>
              <w:spacing w:after="0" w:line="280"/>
            </w:pPr>
            <w:r>
              <w:rPr>
                <w:rFonts w:ascii="Arial" w:cs="Arial" w:eastAsia="Arial" w:hAnsi="Arial"/>
                <w:color w:val="FFFFFF"/>
                <w:sz w:val="20"/>
                <w:szCs w:val="20"/>
              </w:rPr>
              <w:t xml:space="preserve">Cross-institutional collaboration that turns real-world experience into better care for future patients.</w:t>
            </w:r>
          </w:p>
        </w:tc>
      </w:tr>
    </w:tbl>
    <w:p>
      <w:r>
        <w:br w:type="page"/>
      </w:r>
    </w:p>
    <w:p>
      <w:pPr>
        <w:pStyle w:val="Heading1"/>
        <w:spacing w:after="160" w:before="360"/>
      </w:pPr>
      <w:r>
        <w:rPr>
          <w:rFonts w:ascii="Arial" w:cs="Arial" w:eastAsia="Arial" w:hAnsi="Arial"/>
          <w:b/>
          <w:bCs/>
          <w:color w:val="0E2A5A"/>
          <w:sz w:val="32"/>
          <w:szCs w:val="32"/>
        </w:rPr>
        <w:t xml:space="preserve">Brand Colors</w:t>
      </w:r>
    </w:p>
    <w:p>
      <w:pPr>
        <w:spacing w:after="120" w:line="300"/>
        <w:jc w:val="left"/>
      </w:pPr>
      <w:r>
        <w:rPr>
          <w:rFonts w:ascii="Arial" w:cs="Arial" w:eastAsia="Arial" w:hAnsi="Arial"/>
          <w:b w:val="false"/>
          <w:bCs w:val="false"/>
          <w:i w:val="false"/>
          <w:iCs w:val="false"/>
          <w:color w:val="222222"/>
          <w:sz w:val="22"/>
          <w:szCs w:val="22"/>
        </w:rPr>
        <w:t xml:space="preserve">The GCOC palette emphasizes scientific credibility, neutrality, and collaborative trust. Midnight Navy and Deep Teal are intentionally shared with AcureonHealthcare to signal a related ecosystem, while Bright Aqua and Collaborative Green give GCOC its own more open, public-interest identity.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60"/>
        <w:gridCol w:w="1560"/>
        <w:gridCol w:w="1560"/>
        <w:gridCol w:w="1560"/>
        <w:gridCol w:w="1560"/>
        <w:gridCol w:w="1560"/>
      </w:tblGrid>
      <w:tr>
        <w:tc>
          <w:tcPr>
            <w:tcW w:type="dxa" w:w="1872"/>
            <w:tcBorders>
              <w:top w:val="single" w:color="D5D5D5" w:sz="4"/>
              <w:left w:val="single" w:color="D5D5D5" w:sz="4"/>
              <w:bottom w:val="single" w:color="D5D5D5" w:sz="4"/>
              <w:right w:val="single" w:color="D5D5D5" w:sz="4"/>
            </w:tcBorders>
            <w:tcMar>
              <w:top w:type="dxa" w:w="100"/>
              <w:left w:type="dxa" w:w="120"/>
              <w:bottom w:type="dxa" w:w="100"/>
              <w:right w:type="dxa" w:w="120"/>
            </w:tcMar>
          </w:tcPr>
          <w:p>
            <w:pPr>
              <w:shd w:fill="0E2A5A" w:val="clear"/>
              <w:spacing w:after="60"/>
            </w:pPr>
            <w:r>
              <w:rPr>
                <w:color w:val="0E2A5A"/>
                <w:sz w:val="60"/>
                <w:szCs w:val="60"/>
              </w:rPr>
              <w:t xml:space="preserve"> </w:t>
            </w:r>
          </w:p>
          <w:p>
            <w:pPr>
              <w:spacing w:after="40"/>
            </w:pPr>
            <w:r>
              <w:rPr>
                <w:rFonts w:ascii="Arial" w:cs="Arial" w:eastAsia="Arial" w:hAnsi="Arial"/>
                <w:b/>
                <w:bCs/>
                <w:color w:val="0E2A5A"/>
                <w:sz w:val="18"/>
                <w:szCs w:val="18"/>
              </w:rPr>
              <w:t xml:space="preserve">Midnight Navy</w:t>
            </w:r>
          </w:p>
          <w:p>
            <w:pPr>
              <w:spacing w:after="40"/>
            </w:pPr>
            <w:r>
              <w:rPr>
                <w:rFonts w:ascii="Consolas" w:cs="Consolas" w:eastAsia="Consolas" w:hAnsi="Consolas"/>
                <w:color w:val="5A6E73"/>
                <w:sz w:val="16"/>
                <w:szCs w:val="16"/>
              </w:rPr>
              <w:t xml:space="preserve">#0E2A5A</w:t>
            </w:r>
          </w:p>
          <w:p>
            <w:pPr>
              <w:spacing w:after="0"/>
            </w:pPr>
            <w:r>
              <w:rPr>
                <w:rFonts w:ascii="Arial" w:cs="Arial" w:eastAsia="Arial" w:hAnsi="Arial"/>
                <w:i/>
                <w:iCs/>
                <w:color w:val="5A6E73"/>
                <w:sz w:val="16"/>
                <w:szCs w:val="16"/>
              </w:rPr>
              <w:t xml:space="preserve">Primary anchor</w:t>
            </w:r>
          </w:p>
          <w:p>
            <w:pPr>
              <w:spacing w:before="40"/>
            </w:pPr>
            <w:r>
              <w:rPr>
                <w:rFonts w:ascii="Arial" w:cs="Arial" w:eastAsia="Arial" w:hAnsi="Arial"/>
                <w:color w:val="5A6E73"/>
                <w:sz w:val="16"/>
                <w:szCs w:val="16"/>
              </w:rPr>
              <w:t xml:space="preserve">Headlines, primary fields</w:t>
            </w:r>
          </w:p>
        </w:tc>
        <w:tc>
          <w:tcPr>
            <w:tcW w:type="dxa" w:w="1872"/>
            <w:tcBorders>
              <w:top w:val="single" w:color="D5D5D5" w:sz="4"/>
              <w:left w:val="single" w:color="D5D5D5" w:sz="4"/>
              <w:bottom w:val="single" w:color="D5D5D5" w:sz="4"/>
              <w:right w:val="single" w:color="D5D5D5" w:sz="4"/>
            </w:tcBorders>
            <w:tcMar>
              <w:top w:type="dxa" w:w="100"/>
              <w:left w:type="dxa" w:w="120"/>
              <w:bottom w:type="dxa" w:w="100"/>
              <w:right w:type="dxa" w:w="120"/>
            </w:tcMar>
          </w:tcPr>
          <w:p>
            <w:pPr>
              <w:shd w:fill="0E6B6E" w:val="clear"/>
              <w:spacing w:after="60"/>
            </w:pPr>
            <w:r>
              <w:rPr>
                <w:color w:val="0E6B6E"/>
                <w:sz w:val="60"/>
                <w:szCs w:val="60"/>
              </w:rPr>
              <w:t xml:space="preserve"> </w:t>
            </w:r>
          </w:p>
          <w:p>
            <w:pPr>
              <w:spacing w:after="40"/>
            </w:pPr>
            <w:r>
              <w:rPr>
                <w:rFonts w:ascii="Arial" w:cs="Arial" w:eastAsia="Arial" w:hAnsi="Arial"/>
                <w:b/>
                <w:bCs/>
                <w:color w:val="0E2A5A"/>
                <w:sz w:val="18"/>
                <w:szCs w:val="18"/>
              </w:rPr>
              <w:t xml:space="preserve">Deep Teal</w:t>
            </w:r>
          </w:p>
          <w:p>
            <w:pPr>
              <w:spacing w:after="40"/>
            </w:pPr>
            <w:r>
              <w:rPr>
                <w:rFonts w:ascii="Consolas" w:cs="Consolas" w:eastAsia="Consolas" w:hAnsi="Consolas"/>
                <w:color w:val="5A6E73"/>
                <w:sz w:val="16"/>
                <w:szCs w:val="16"/>
              </w:rPr>
              <w:t xml:space="preserve">#0E6B6E</w:t>
            </w:r>
          </w:p>
          <w:p>
            <w:pPr>
              <w:spacing w:after="0"/>
            </w:pPr>
            <w:r>
              <w:rPr>
                <w:rFonts w:ascii="Arial" w:cs="Arial" w:eastAsia="Arial" w:hAnsi="Arial"/>
                <w:i/>
                <w:iCs/>
                <w:color w:val="5A6E73"/>
                <w:sz w:val="16"/>
                <w:szCs w:val="16"/>
              </w:rPr>
              <w:t xml:space="preserve">Secondary trust tone</w:t>
            </w:r>
          </w:p>
          <w:p>
            <w:pPr>
              <w:spacing w:before="40"/>
            </w:pPr>
            <w:r>
              <w:rPr>
                <w:rFonts w:ascii="Arial" w:cs="Arial" w:eastAsia="Arial" w:hAnsi="Arial"/>
                <w:color w:val="5A6E73"/>
                <w:sz w:val="16"/>
                <w:szCs w:val="16"/>
              </w:rPr>
              <w:t xml:space="preserve">Subheads, supporting fields</w:t>
            </w:r>
          </w:p>
        </w:tc>
        <w:tc>
          <w:tcPr>
            <w:tcW w:type="dxa" w:w="1872"/>
            <w:tcBorders>
              <w:top w:val="single" w:color="D5D5D5" w:sz="4"/>
              <w:left w:val="single" w:color="D5D5D5" w:sz="4"/>
              <w:bottom w:val="single" w:color="D5D5D5" w:sz="4"/>
              <w:right w:val="single" w:color="D5D5D5" w:sz="4"/>
            </w:tcBorders>
            <w:tcMar>
              <w:top w:type="dxa" w:w="100"/>
              <w:left w:type="dxa" w:w="120"/>
              <w:bottom w:type="dxa" w:w="100"/>
              <w:right w:type="dxa" w:w="120"/>
            </w:tcMar>
          </w:tcPr>
          <w:p>
            <w:pPr>
              <w:shd w:fill="22A7C7" w:val="clear"/>
              <w:spacing w:after="60"/>
            </w:pPr>
            <w:r>
              <w:rPr>
                <w:color w:val="22A7C7"/>
                <w:sz w:val="60"/>
                <w:szCs w:val="60"/>
              </w:rPr>
              <w:t xml:space="preserve"> </w:t>
            </w:r>
          </w:p>
          <w:p>
            <w:pPr>
              <w:spacing w:after="40"/>
            </w:pPr>
            <w:r>
              <w:rPr>
                <w:rFonts w:ascii="Arial" w:cs="Arial" w:eastAsia="Arial" w:hAnsi="Arial"/>
                <w:b/>
                <w:bCs/>
                <w:color w:val="0E2A5A"/>
                <w:sz w:val="18"/>
                <w:szCs w:val="18"/>
              </w:rPr>
              <w:t xml:space="preserve">Bright Aqua</w:t>
            </w:r>
          </w:p>
          <w:p>
            <w:pPr>
              <w:spacing w:after="40"/>
            </w:pPr>
            <w:r>
              <w:rPr>
                <w:rFonts w:ascii="Consolas" w:cs="Consolas" w:eastAsia="Consolas" w:hAnsi="Consolas"/>
                <w:color w:val="5A6E73"/>
                <w:sz w:val="16"/>
                <w:szCs w:val="16"/>
              </w:rPr>
              <w:t xml:space="preserve">#22A7C7</w:t>
            </w:r>
          </w:p>
          <w:p>
            <w:pPr>
              <w:spacing w:after="0"/>
            </w:pPr>
            <w:r>
              <w:rPr>
                <w:rFonts w:ascii="Arial" w:cs="Arial" w:eastAsia="Arial" w:hAnsi="Arial"/>
                <w:i/>
                <w:iCs/>
                <w:color w:val="5A6E73"/>
                <w:sz w:val="16"/>
                <w:szCs w:val="16"/>
              </w:rPr>
              <w:t xml:space="preserve">Signal accent</w:t>
            </w:r>
          </w:p>
          <w:p>
            <w:pPr>
              <w:spacing w:before="40"/>
            </w:pPr>
            <w:r>
              <w:rPr>
                <w:rFonts w:ascii="Arial" w:cs="Arial" w:eastAsia="Arial" w:hAnsi="Arial"/>
                <w:color w:val="5A6E73"/>
                <w:sz w:val="16"/>
                <w:szCs w:val="16"/>
              </w:rPr>
              <w:t xml:space="preserve">Use sparingly for emphasis</w:t>
            </w:r>
          </w:p>
        </w:tc>
        <w:tc>
          <w:tcPr>
            <w:tcW w:type="dxa" w:w="1872"/>
            <w:tcBorders>
              <w:top w:val="single" w:color="D5D5D5" w:sz="4"/>
              <w:left w:val="single" w:color="D5D5D5" w:sz="4"/>
              <w:bottom w:val="single" w:color="D5D5D5" w:sz="4"/>
              <w:right w:val="single" w:color="D5D5D5" w:sz="4"/>
            </w:tcBorders>
            <w:tcMar>
              <w:top w:type="dxa" w:w="100"/>
              <w:left w:type="dxa" w:w="120"/>
              <w:bottom w:type="dxa" w:w="100"/>
              <w:right w:type="dxa" w:w="120"/>
            </w:tcMar>
          </w:tcPr>
          <w:p>
            <w:pPr>
              <w:shd w:fill="45BE6A" w:val="clear"/>
              <w:spacing w:after="60"/>
            </w:pPr>
            <w:r>
              <w:rPr>
                <w:color w:val="45BE6A"/>
                <w:sz w:val="60"/>
                <w:szCs w:val="60"/>
              </w:rPr>
              <w:t xml:space="preserve"> </w:t>
            </w:r>
          </w:p>
          <w:p>
            <w:pPr>
              <w:spacing w:after="40"/>
            </w:pPr>
            <w:r>
              <w:rPr>
                <w:rFonts w:ascii="Arial" w:cs="Arial" w:eastAsia="Arial" w:hAnsi="Arial"/>
                <w:b/>
                <w:bCs/>
                <w:color w:val="0E2A5A"/>
                <w:sz w:val="18"/>
                <w:szCs w:val="18"/>
              </w:rPr>
              <w:t xml:space="preserve">Collaborative Green</w:t>
            </w:r>
          </w:p>
          <w:p>
            <w:pPr>
              <w:spacing w:after="40"/>
            </w:pPr>
            <w:r>
              <w:rPr>
                <w:rFonts w:ascii="Consolas" w:cs="Consolas" w:eastAsia="Consolas" w:hAnsi="Consolas"/>
                <w:color w:val="5A6E73"/>
                <w:sz w:val="16"/>
                <w:szCs w:val="16"/>
              </w:rPr>
              <w:t xml:space="preserve">#45BE6A</w:t>
            </w:r>
          </w:p>
          <w:p>
            <w:pPr>
              <w:spacing w:after="0"/>
            </w:pPr>
            <w:r>
              <w:rPr>
                <w:rFonts w:ascii="Arial" w:cs="Arial" w:eastAsia="Arial" w:hAnsi="Arial"/>
                <w:i/>
                <w:iCs/>
                <w:color w:val="5A6E73"/>
                <w:sz w:val="16"/>
                <w:szCs w:val="16"/>
              </w:rPr>
              <w:t xml:space="preserve">Growth accent</w:t>
            </w:r>
          </w:p>
          <w:p>
            <w:pPr>
              <w:spacing w:before="40"/>
            </w:pPr>
            <w:r>
              <w:rPr>
                <w:rFonts w:ascii="Arial" w:cs="Arial" w:eastAsia="Arial" w:hAnsi="Arial"/>
                <w:color w:val="5A6E73"/>
                <w:sz w:val="16"/>
                <w:szCs w:val="16"/>
              </w:rPr>
              <w:t xml:space="preserve">Calls-to-action, charts</w:t>
            </w:r>
          </w:p>
        </w:tc>
        <w:tc>
          <w:tcPr>
            <w:tcW w:type="dxa" w:w="1872"/>
            <w:tcBorders>
              <w:top w:val="single" w:color="D5D5D5" w:sz="4"/>
              <w:left w:val="single" w:color="D5D5D5" w:sz="4"/>
              <w:bottom w:val="single" w:color="D5D5D5" w:sz="4"/>
              <w:right w:val="single" w:color="D5D5D5" w:sz="4"/>
            </w:tcBorders>
            <w:tcMar>
              <w:top w:type="dxa" w:w="100"/>
              <w:left w:type="dxa" w:w="120"/>
              <w:bottom w:type="dxa" w:w="100"/>
              <w:right w:type="dxa" w:w="120"/>
            </w:tcMar>
          </w:tcPr>
          <w:p>
            <w:pPr>
              <w:shd w:fill="5A6E73" w:val="clear"/>
              <w:spacing w:after="60"/>
            </w:pPr>
            <w:r>
              <w:rPr>
                <w:color w:val="5A6E73"/>
                <w:sz w:val="60"/>
                <w:szCs w:val="60"/>
              </w:rPr>
              <w:t xml:space="preserve"> </w:t>
            </w:r>
          </w:p>
          <w:p>
            <w:pPr>
              <w:spacing w:after="40"/>
            </w:pPr>
            <w:r>
              <w:rPr>
                <w:rFonts w:ascii="Arial" w:cs="Arial" w:eastAsia="Arial" w:hAnsi="Arial"/>
                <w:b/>
                <w:bCs/>
                <w:color w:val="0E2A5A"/>
                <w:sz w:val="18"/>
                <w:szCs w:val="18"/>
              </w:rPr>
              <w:t xml:space="preserve">Clinical Slate</w:t>
            </w:r>
          </w:p>
          <w:p>
            <w:pPr>
              <w:spacing w:after="40"/>
            </w:pPr>
            <w:r>
              <w:rPr>
                <w:rFonts w:ascii="Consolas" w:cs="Consolas" w:eastAsia="Consolas" w:hAnsi="Consolas"/>
                <w:color w:val="5A6E73"/>
                <w:sz w:val="16"/>
                <w:szCs w:val="16"/>
              </w:rPr>
              <w:t xml:space="preserve">#5A6E73</w:t>
            </w:r>
          </w:p>
          <w:p>
            <w:pPr>
              <w:spacing w:after="0"/>
            </w:pPr>
            <w:r>
              <w:rPr>
                <w:rFonts w:ascii="Arial" w:cs="Arial" w:eastAsia="Arial" w:hAnsi="Arial"/>
                <w:i/>
                <w:iCs/>
                <w:color w:val="5A6E73"/>
                <w:sz w:val="16"/>
                <w:szCs w:val="16"/>
              </w:rPr>
              <w:t xml:space="preserve">Neutral text</w:t>
            </w:r>
          </w:p>
          <w:p>
            <w:pPr>
              <w:spacing w:before="40"/>
            </w:pPr>
            <w:r>
              <w:rPr>
                <w:rFonts w:ascii="Arial" w:cs="Arial" w:eastAsia="Arial" w:hAnsi="Arial"/>
                <w:color w:val="5A6E73"/>
                <w:sz w:val="16"/>
                <w:szCs w:val="16"/>
              </w:rPr>
              <w:t xml:space="preserve">Body copy on light backgrounds</w:t>
            </w:r>
          </w:p>
        </w:tc>
        <w:tc>
          <w:tcPr>
            <w:tcW w:type="dxa" w:w="1872"/>
            <w:tcBorders>
              <w:top w:val="single" w:color="D5D5D5" w:sz="4"/>
              <w:left w:val="single" w:color="D5D5D5" w:sz="4"/>
              <w:bottom w:val="single" w:color="D5D5D5" w:sz="4"/>
              <w:right w:val="single" w:color="D5D5D5" w:sz="4"/>
            </w:tcBorders>
            <w:tcMar>
              <w:top w:type="dxa" w:w="100"/>
              <w:left w:type="dxa" w:w="120"/>
              <w:bottom w:type="dxa" w:w="100"/>
              <w:right w:type="dxa" w:w="120"/>
            </w:tcMar>
          </w:tcPr>
          <w:p>
            <w:pPr>
              <w:shd w:fill="EFF6F7" w:val="clear"/>
              <w:spacing w:after="60"/>
            </w:pPr>
            <w:r>
              <w:rPr>
                <w:color w:val="EFF6F7"/>
                <w:sz w:val="60"/>
                <w:szCs w:val="60"/>
              </w:rPr>
              <w:t xml:space="preserve"> </w:t>
            </w:r>
          </w:p>
          <w:p>
            <w:pPr>
              <w:spacing w:after="40"/>
            </w:pPr>
            <w:r>
              <w:rPr>
                <w:rFonts w:ascii="Arial" w:cs="Arial" w:eastAsia="Arial" w:hAnsi="Arial"/>
                <w:b/>
                <w:bCs/>
                <w:color w:val="0E2A5A"/>
                <w:sz w:val="18"/>
                <w:szCs w:val="18"/>
              </w:rPr>
              <w:t xml:space="preserve">Soft Mist</w:t>
            </w:r>
          </w:p>
          <w:p>
            <w:pPr>
              <w:spacing w:after="40"/>
            </w:pPr>
            <w:r>
              <w:rPr>
                <w:rFonts w:ascii="Consolas" w:cs="Consolas" w:eastAsia="Consolas" w:hAnsi="Consolas"/>
                <w:color w:val="5A6E73"/>
                <w:sz w:val="16"/>
                <w:szCs w:val="16"/>
              </w:rPr>
              <w:t xml:space="preserve">#EFF6F7</w:t>
            </w:r>
          </w:p>
          <w:p>
            <w:pPr>
              <w:spacing w:after="0"/>
            </w:pPr>
            <w:r>
              <w:rPr>
                <w:rFonts w:ascii="Arial" w:cs="Arial" w:eastAsia="Arial" w:hAnsi="Arial"/>
                <w:i/>
                <w:iCs/>
                <w:color w:val="5A6E73"/>
                <w:sz w:val="16"/>
                <w:szCs w:val="16"/>
              </w:rPr>
              <w:t xml:space="preserve">Background field</w:t>
            </w:r>
          </w:p>
          <w:p>
            <w:pPr>
              <w:spacing w:before="40"/>
            </w:pPr>
            <w:r>
              <w:rPr>
                <w:rFonts w:ascii="Arial" w:cs="Arial" w:eastAsia="Arial" w:hAnsi="Arial"/>
                <w:color w:val="5A6E73"/>
                <w:sz w:val="16"/>
                <w:szCs w:val="16"/>
              </w:rPr>
              <w:t xml:space="preserve">Section backgrounds</w:t>
            </w:r>
          </w:p>
        </w:tc>
      </w:tr>
    </w:tbl>
    <w:p>
      <w:pPr>
        <w:spacing w:before="200"/>
      </w:pPr>
    </w:p>
    <w:p>
      <w:pPr>
        <w:pStyle w:val="Heading2"/>
        <w:spacing w:after="120" w:before="240"/>
      </w:pPr>
      <w:r>
        <w:rPr>
          <w:rFonts w:ascii="Arial" w:cs="Arial" w:eastAsia="Arial" w:hAnsi="Arial"/>
          <w:b/>
          <w:bCs/>
          <w:color w:val="0E6B6E"/>
          <w:sz w:val="26"/>
          <w:szCs w:val="26"/>
        </w:rPr>
        <w:t xml:space="preserve">Usage hierarchy</w:t>
      </w:r>
    </w:p>
    <w:p>
      <w:pPr>
        <w:pStyle w:val="ListParagraph"/>
        <w:numPr>
          <w:ilvl w:val="0"/>
          <w:numId w:val="2"/>
        </w:numPr>
        <w:spacing w:after="80" w:line="280"/>
      </w:pPr>
      <w:r>
        <w:rPr>
          <w:rFonts w:ascii="Arial" w:cs="Arial" w:eastAsia="Arial" w:hAnsi="Arial"/>
          <w:color w:val="222222"/>
          <w:sz w:val="22"/>
          <w:szCs w:val="22"/>
        </w:rPr>
        <w:t xml:space="preserve">Primary: Midnight Navy and Deep Teal carry roughly 80% of brand surface area — logo, headers, primary fields.</w:t>
      </w:r>
    </w:p>
    <w:p>
      <w:pPr>
        <w:pStyle w:val="ListParagraph"/>
        <w:numPr>
          <w:ilvl w:val="0"/>
          <w:numId w:val="2"/>
        </w:numPr>
        <w:spacing w:after="80" w:line="280"/>
      </w:pPr>
      <w:r>
        <w:rPr>
          <w:rFonts w:ascii="Arial" w:cs="Arial" w:eastAsia="Arial" w:hAnsi="Arial"/>
          <w:color w:val="222222"/>
          <w:sz w:val="22"/>
          <w:szCs w:val="22"/>
        </w:rPr>
        <w:t xml:space="preserve">Accent: Bright Aqua and Collaborative Green are reserved for emphasis, calls-to-action, and data visualization. Use sparingly to preserve impact.</w:t>
      </w:r>
    </w:p>
    <w:p>
      <w:pPr>
        <w:pStyle w:val="ListParagraph"/>
        <w:numPr>
          <w:ilvl w:val="0"/>
          <w:numId w:val="2"/>
        </w:numPr>
        <w:spacing w:after="80" w:line="280"/>
      </w:pPr>
      <w:r>
        <w:rPr>
          <w:rFonts w:ascii="Arial" w:cs="Arial" w:eastAsia="Arial" w:hAnsi="Arial"/>
          <w:color w:val="222222"/>
          <w:sz w:val="22"/>
          <w:szCs w:val="22"/>
        </w:rPr>
        <w:t xml:space="preserve">Neutral: Clinical Slate and Soft Mist support body text, dividers, and quiet backgrounds.</w:t>
      </w:r>
    </w:p>
    <w:p>
      <w:pPr>
        <w:pStyle w:val="Heading2"/>
        <w:spacing w:after="120" w:before="240"/>
      </w:pPr>
      <w:r>
        <w:rPr>
          <w:rFonts w:ascii="Arial" w:cs="Arial" w:eastAsia="Arial" w:hAnsi="Arial"/>
          <w:b/>
          <w:bCs/>
          <w:color w:val="0E6B6E"/>
          <w:sz w:val="26"/>
          <w:szCs w:val="26"/>
        </w:rPr>
        <w:t xml:space="preserve">Accessibility</w:t>
      </w:r>
    </w:p>
    <w:p>
      <w:pPr>
        <w:spacing w:after="120" w:line="300"/>
        <w:jc w:val="left"/>
      </w:pPr>
      <w:r>
        <w:rPr>
          <w:rFonts w:ascii="Arial" w:cs="Arial" w:eastAsia="Arial" w:hAnsi="Arial"/>
          <w:b w:val="false"/>
          <w:bCs w:val="false"/>
          <w:i w:val="false"/>
          <w:iCs w:val="false"/>
          <w:color w:val="222222"/>
          <w:sz w:val="22"/>
          <w:szCs w:val="22"/>
        </w:rPr>
        <w:t xml:space="preserve">All foreground/background pairings used for body text must meet WCAG AA contrast (4.5:1). Clinical Slate on Soft Mist is suitable for headings and labels but should not be used for long-form body copy; use Midnight Navy or near-black on Soft Mist instead.</w:t>
      </w:r>
    </w:p>
    <w:p>
      <w:r>
        <w:br w:type="page"/>
      </w:r>
    </w:p>
    <w:p>
      <w:pPr>
        <w:pStyle w:val="Heading1"/>
        <w:spacing w:after="160" w:before="360"/>
      </w:pPr>
      <w:r>
        <w:rPr>
          <w:rFonts w:ascii="Arial" w:cs="Arial" w:eastAsia="Arial" w:hAnsi="Arial"/>
          <w:b/>
          <w:bCs/>
          <w:color w:val="0E2A5A"/>
          <w:sz w:val="32"/>
          <w:szCs w:val="32"/>
        </w:rPr>
        <w:t xml:space="preserve">Logo Usage</w:t>
      </w:r>
    </w:p>
    <w:p>
      <w:pPr>
        <w:spacing w:after="120" w:line="300"/>
        <w:jc w:val="left"/>
      </w:pPr>
      <w:r>
        <w:rPr>
          <w:rFonts w:ascii="Arial" w:cs="Arial" w:eastAsia="Arial" w:hAnsi="Arial"/>
          <w:b w:val="false"/>
          <w:bCs w:val="false"/>
          <w:i w:val="false"/>
          <w:iCs w:val="false"/>
          <w:color w:val="222222"/>
          <w:sz w:val="22"/>
          <w:szCs w:val="22"/>
        </w:rPr>
        <w:t xml:space="preserve">The GCOC logo is the most visible expression of the brand. Treat it consistently across every touchpoint.</w:t>
      </w:r>
    </w:p>
    <w:tbl>
      <w:tblPr>
        <w:tblW w:type="dxa" w:w="9360"/>
        <w:tblBorders>
          <w:top w:val="single" w:color="D5D5D5" w:sz="4"/>
          <w:left w:val="single" w:color="D5D5D5" w:sz="4"/>
          <w:bottom w:val="single" w:color="D5D5D5" w:sz="4"/>
          <w:right w:val="single" w:color="D5D5D5" w:sz="4"/>
          <w:insideH w:val="single" w:color="D5D5D5" w:sz="4"/>
          <w:insideV w:val="single" w:color="D5D5D5" w:sz="4"/>
        </w:tblBorders>
      </w:tblPr>
      <w:tblGrid>
        <w:gridCol w:w="4680"/>
        <w:gridCol w:w="4680"/>
      </w:tblGrid>
      <w:tr>
        <w:tc>
          <w:tcPr>
            <w:tcW w:type="dxa" w:w="4680"/>
            <w:tcBorders>
              <w:top w:val="single" w:color="D5D5D5" w:sz="4"/>
              <w:left w:val="single" w:color="D5D5D5" w:sz="4"/>
              <w:bottom w:val="single" w:color="D5D5D5" w:sz="4"/>
              <w:right w:val="single" w:color="D5D5D5" w:sz="4"/>
            </w:tcBorders>
            <w:tcMar>
              <w:top w:type="dxa" w:w="200"/>
              <w:left w:type="dxa" w:w="240"/>
              <w:bottom w:type="dxa" w:w="200"/>
              <w:right w:type="dxa" w:w="240"/>
            </w:tcMar>
          </w:tcPr>
          <w:p>
            <w:pPr>
              <w:spacing w:after="120"/>
            </w:pPr>
            <w:r>
              <w:rPr>
                <w:rFonts w:ascii="Arial" w:cs="Arial" w:eastAsia="Arial" w:hAnsi="Arial"/>
                <w:b/>
                <w:bCs/>
                <w:color w:val="45BE6A"/>
                <w:sz w:val="22"/>
                <w:szCs w:val="22"/>
              </w:rPr>
              <w:t xml:space="preserve">DO</w:t>
            </w:r>
          </w:p>
          <w:p>
            <w:pPr>
              <w:pStyle w:val="ListParagraph"/>
              <w:numPr>
                <w:ilvl w:val="0"/>
                <w:numId w:val="2"/>
              </w:numPr>
              <w:spacing w:after="60" w:line="260"/>
            </w:pPr>
            <w:r>
              <w:rPr>
                <w:rFonts w:ascii="Arial" w:cs="Arial" w:eastAsia="Arial" w:hAnsi="Arial"/>
                <w:color w:val="222222"/>
                <w:sz w:val="20"/>
                <w:szCs w:val="20"/>
              </w:rPr>
              <w:t xml:space="preserve">Maintain clear space equal to the height of the “G” in GCOC on all sides.</w:t>
            </w:r>
          </w:p>
          <w:p>
            <w:pPr>
              <w:pStyle w:val="ListParagraph"/>
              <w:numPr>
                <w:ilvl w:val="0"/>
                <w:numId w:val="2"/>
              </w:numPr>
              <w:spacing w:after="60" w:line="260"/>
            </w:pPr>
            <w:r>
              <w:rPr>
                <w:rFonts w:ascii="Arial" w:cs="Arial" w:eastAsia="Arial" w:hAnsi="Arial"/>
                <w:color w:val="222222"/>
                <w:sz w:val="20"/>
                <w:szCs w:val="20"/>
              </w:rPr>
              <w:t xml:space="preserve">Use a minimum print width of 1.0 inch (or 96 px on screen).</w:t>
            </w:r>
          </w:p>
          <w:p>
            <w:pPr>
              <w:pStyle w:val="ListParagraph"/>
              <w:numPr>
                <w:ilvl w:val="0"/>
                <w:numId w:val="2"/>
              </w:numPr>
              <w:spacing w:after="60" w:line="260"/>
            </w:pPr>
            <w:r>
              <w:rPr>
                <w:rFonts w:ascii="Arial" w:cs="Arial" w:eastAsia="Arial" w:hAnsi="Arial"/>
                <w:color w:val="222222"/>
                <w:sz w:val="20"/>
                <w:szCs w:val="20"/>
              </w:rPr>
              <w:t xml:space="preserve">Place on white, Soft Mist, or Midnight Navy backgrounds for maximum legibility.</w:t>
            </w:r>
          </w:p>
          <w:p>
            <w:pPr>
              <w:pStyle w:val="ListParagraph"/>
              <w:numPr>
                <w:ilvl w:val="0"/>
                <w:numId w:val="2"/>
              </w:numPr>
              <w:spacing w:after="60" w:line="260"/>
            </w:pPr>
            <w:r>
              <w:rPr>
                <w:rFonts w:ascii="Arial" w:cs="Arial" w:eastAsia="Arial" w:hAnsi="Arial"/>
                <w:color w:val="222222"/>
                <w:sz w:val="20"/>
                <w:szCs w:val="20"/>
              </w:rPr>
              <w:t xml:space="preserve">Use the approved color logo whenever possible; reverse-out (white) on dark fields.</w:t>
            </w:r>
          </w:p>
        </w:tc>
        <w:tc>
          <w:tcPr>
            <w:tcW w:type="dxa" w:w="4680"/>
            <w:tcBorders>
              <w:top w:val="single" w:color="D5D5D5" w:sz="4"/>
              <w:left w:val="single" w:color="D5D5D5" w:sz="4"/>
              <w:bottom w:val="single" w:color="D5D5D5" w:sz="4"/>
              <w:right w:val="single" w:color="D5D5D5" w:sz="4"/>
            </w:tcBorders>
            <w:tcMar>
              <w:top w:type="dxa" w:w="200"/>
              <w:left w:type="dxa" w:w="240"/>
              <w:bottom w:type="dxa" w:w="200"/>
              <w:right w:type="dxa" w:w="240"/>
            </w:tcMar>
          </w:tcPr>
          <w:p>
            <w:pPr>
              <w:spacing w:after="120"/>
            </w:pPr>
            <w:r>
              <w:rPr>
                <w:rFonts w:ascii="Arial" w:cs="Arial" w:eastAsia="Arial" w:hAnsi="Arial"/>
                <w:b/>
                <w:bCs/>
                <w:color w:val="C44545"/>
                <w:sz w:val="22"/>
                <w:szCs w:val="22"/>
              </w:rPr>
              <w:t xml:space="preserve">DON’T</w:t>
            </w:r>
          </w:p>
          <w:p>
            <w:pPr>
              <w:pStyle w:val="ListParagraph"/>
              <w:numPr>
                <w:ilvl w:val="0"/>
                <w:numId w:val="2"/>
              </w:numPr>
              <w:spacing w:after="60" w:line="260"/>
            </w:pPr>
            <w:r>
              <w:rPr>
                <w:rFonts w:ascii="Arial" w:cs="Arial" w:eastAsia="Arial" w:hAnsi="Arial"/>
                <w:color w:val="222222"/>
                <w:sz w:val="20"/>
                <w:szCs w:val="20"/>
              </w:rPr>
              <w:t xml:space="preserve">Don’t stretch, skew, rotate, or recolor the logo.</w:t>
            </w:r>
          </w:p>
          <w:p>
            <w:pPr>
              <w:pStyle w:val="ListParagraph"/>
              <w:numPr>
                <w:ilvl w:val="0"/>
                <w:numId w:val="2"/>
              </w:numPr>
              <w:spacing w:after="60" w:line="260"/>
            </w:pPr>
            <w:r>
              <w:rPr>
                <w:rFonts w:ascii="Arial" w:cs="Arial" w:eastAsia="Arial" w:hAnsi="Arial"/>
                <w:color w:val="222222"/>
                <w:sz w:val="20"/>
                <w:szCs w:val="20"/>
              </w:rPr>
              <w:t xml:space="preserve">Don’t place the logo on busy photography or low-contrast backgrounds.</w:t>
            </w:r>
          </w:p>
          <w:p>
            <w:pPr>
              <w:pStyle w:val="ListParagraph"/>
              <w:numPr>
                <w:ilvl w:val="0"/>
                <w:numId w:val="2"/>
              </w:numPr>
              <w:spacing w:after="60" w:line="260"/>
            </w:pPr>
            <w:r>
              <w:rPr>
                <w:rFonts w:ascii="Arial" w:cs="Arial" w:eastAsia="Arial" w:hAnsi="Arial"/>
                <w:color w:val="222222"/>
                <w:sz w:val="20"/>
                <w:szCs w:val="20"/>
              </w:rPr>
              <w:t xml:space="preserve">Don’t add drop shadows, outlines, or other effects.</w:t>
            </w:r>
          </w:p>
          <w:p>
            <w:pPr>
              <w:pStyle w:val="ListParagraph"/>
              <w:numPr>
                <w:ilvl w:val="0"/>
                <w:numId w:val="2"/>
              </w:numPr>
              <w:spacing w:after="60" w:line="260"/>
            </w:pPr>
            <w:r>
              <w:rPr>
                <w:rFonts w:ascii="Arial" w:cs="Arial" w:eastAsia="Arial" w:hAnsi="Arial"/>
                <w:color w:val="222222"/>
                <w:sz w:val="20"/>
                <w:szCs w:val="20"/>
              </w:rPr>
              <w:t xml:space="preserve">Don’t lock up the logo with other marks without brand approval.</w:t>
            </w:r>
          </w:p>
        </w:tc>
      </w:tr>
    </w:tbl>
    <w:p>
      <w:pPr>
        <w:spacing w:before="200"/>
      </w:pPr>
    </w:p>
    <w:p>
      <w:pPr>
        <w:pStyle w:val="Heading2"/>
        <w:spacing w:after="120" w:before="240"/>
      </w:pPr>
      <w:r>
        <w:rPr>
          <w:rFonts w:ascii="Arial" w:cs="Arial" w:eastAsia="Arial" w:hAnsi="Arial"/>
          <w:b/>
          <w:bCs/>
          <w:color w:val="0E6B6E"/>
          <w:sz w:val="26"/>
          <w:szCs w:val="26"/>
        </w:rPr>
        <w:t xml:space="preserve">Clear space and minimum size</w:t>
      </w:r>
    </w:p>
    <w:p>
      <w:pPr>
        <w:pStyle w:val="ListParagraph"/>
        <w:numPr>
          <w:ilvl w:val="0"/>
          <w:numId w:val="2"/>
        </w:numPr>
        <w:spacing w:after="80" w:line="280"/>
      </w:pPr>
      <w:r>
        <w:rPr>
          <w:rFonts w:ascii="Arial" w:cs="Arial" w:eastAsia="Arial" w:hAnsi="Arial"/>
          <w:color w:val="222222"/>
          <w:sz w:val="22"/>
          <w:szCs w:val="22"/>
        </w:rPr>
        <w:t xml:space="preserve">Clear space: maintain padding equal to the height of the “G” in GCOC around all sides of the mark.</w:t>
      </w:r>
    </w:p>
    <w:p>
      <w:pPr>
        <w:pStyle w:val="ListParagraph"/>
        <w:numPr>
          <w:ilvl w:val="0"/>
          <w:numId w:val="2"/>
        </w:numPr>
        <w:spacing w:after="80" w:line="280"/>
      </w:pPr>
      <w:r>
        <w:rPr>
          <w:rFonts w:ascii="Arial" w:cs="Arial" w:eastAsia="Arial" w:hAnsi="Arial"/>
          <w:color w:val="222222"/>
          <w:sz w:val="22"/>
          <w:szCs w:val="22"/>
        </w:rPr>
        <w:t xml:space="preserve">Minimum print size: 1.0 inch wide. Minimum digital size: 96 px wide.</w:t>
      </w:r>
    </w:p>
    <w:p>
      <w:pPr>
        <w:pStyle w:val="ListParagraph"/>
        <w:numPr>
          <w:ilvl w:val="0"/>
          <w:numId w:val="2"/>
        </w:numPr>
        <w:spacing w:after="80" w:line="280"/>
      </w:pPr>
      <w:r>
        <w:rPr>
          <w:rFonts w:ascii="Arial" w:cs="Arial" w:eastAsia="Arial" w:hAnsi="Arial"/>
          <w:color w:val="222222"/>
          <w:sz w:val="22"/>
          <w:szCs w:val="22"/>
        </w:rPr>
        <w:t xml:space="preserve">On dark backgrounds, use the reverse (white) version of the logo.</w:t>
      </w:r>
    </w:p>
    <w:p>
      <w:pPr>
        <w:pStyle w:val="Heading1"/>
        <w:spacing w:after="160" w:before="360"/>
      </w:pPr>
      <w:r>
        <w:rPr>
          <w:rFonts w:ascii="Arial" w:cs="Arial" w:eastAsia="Arial" w:hAnsi="Arial"/>
          <w:b/>
          <w:bCs/>
          <w:color w:val="0E2A5A"/>
          <w:sz w:val="32"/>
          <w:szCs w:val="32"/>
        </w:rPr>
        <w:t xml:space="preserve">Typography</w:t>
      </w:r>
    </w:p>
    <w:p>
      <w:pPr>
        <w:spacing w:after="120" w:line="300"/>
        <w:jc w:val="left"/>
      </w:pPr>
      <w:r>
        <w:rPr>
          <w:rFonts w:ascii="Arial" w:cs="Arial" w:eastAsia="Arial" w:hAnsi="Arial"/>
          <w:b w:val="false"/>
          <w:bCs w:val="false"/>
          <w:i w:val="false"/>
          <w:iCs w:val="false"/>
          <w:color w:val="222222"/>
          <w:sz w:val="22"/>
          <w:szCs w:val="22"/>
        </w:rPr>
        <w:t xml:space="preserve">Arial is the GCOC system font — universally available, accessible, and neutral. It signals scientific clarity rather than design style, which is intentional for a nonprofit research collaborative.</w:t>
      </w:r>
    </w:p>
    <w:tbl>
      <w:tblPr>
        <w:tblW w:type="dxa" w:w="9360"/>
        <w:tblBorders>
          <w:top w:val="single" w:color="D5D5D5" w:sz="4"/>
          <w:left w:val="single" w:color="D5D5D5" w:sz="4"/>
          <w:bottom w:val="single" w:color="D5D5D5" w:sz="4"/>
          <w:right w:val="single" w:color="D5D5D5" w:sz="4"/>
          <w:insideH w:val="single" w:color="D5D5D5" w:sz="4"/>
          <w:insideV w:val="single" w:color="D5D5D5" w:sz="4"/>
        </w:tblBorders>
      </w:tblPr>
      <w:tblGrid>
        <w:gridCol w:w="2400"/>
        <w:gridCol w:w="2880"/>
        <w:gridCol w:w="4080"/>
      </w:tblGrid>
      <w:tr>
        <w:tc>
          <w:tcPr>
            <w:tcBorders>
              <w:top w:val="single" w:color="D5D5D5" w:sz="4"/>
              <w:left w:val="single" w:color="D5D5D5" w:sz="4"/>
              <w:bottom w:val="single" w:color="D5D5D5" w:sz="4"/>
              <w:right w:val="single" w:color="D5D5D5" w:sz="4"/>
            </w:tcBorders>
            <w:shd w:fill="0E2A5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Borders>
              <w:top w:val="single" w:color="D5D5D5" w:sz="4"/>
              <w:left w:val="single" w:color="D5D5D5" w:sz="4"/>
              <w:bottom w:val="single" w:color="D5D5D5" w:sz="4"/>
              <w:right w:val="single" w:color="D5D5D5" w:sz="4"/>
            </w:tcBorders>
            <w:shd w:fill="0E2A5A" w:val="clear"/>
            <w:tcMar>
              <w:top w:type="dxa" w:w="100"/>
              <w:left w:type="dxa" w:w="160"/>
              <w:bottom w:type="dxa" w:w="100"/>
              <w:right w:type="dxa" w:w="160"/>
            </w:tcMar>
          </w:tcPr>
          <w:p>
            <w:r>
              <w:rPr>
                <w:rFonts w:ascii="Arial" w:cs="Arial" w:eastAsia="Arial" w:hAnsi="Arial"/>
                <w:b/>
                <w:bCs/>
                <w:color w:val="FFFFFF"/>
                <w:sz w:val="20"/>
                <w:szCs w:val="20"/>
              </w:rPr>
              <w:t xml:space="preserve">Typeface</w:t>
            </w:r>
          </w:p>
        </w:tc>
        <w:tc>
          <w:tcPr>
            <w:tcBorders>
              <w:top w:val="single" w:color="D5D5D5" w:sz="4"/>
              <w:left w:val="single" w:color="D5D5D5" w:sz="4"/>
              <w:bottom w:val="single" w:color="D5D5D5" w:sz="4"/>
              <w:right w:val="single" w:color="D5D5D5" w:sz="4"/>
            </w:tcBorders>
            <w:shd w:fill="0E2A5A" w:val="clear"/>
            <w:tcMar>
              <w:top w:type="dxa" w:w="100"/>
              <w:left w:type="dxa" w:w="160"/>
              <w:bottom w:type="dxa" w:w="100"/>
              <w:right w:type="dxa" w:w="160"/>
            </w:tcMar>
          </w:tcPr>
          <w:p>
            <w:r>
              <w:rPr>
                <w:rFonts w:ascii="Arial" w:cs="Arial" w:eastAsia="Arial" w:hAnsi="Arial"/>
                <w:b/>
                <w:bCs/>
                <w:color w:val="FFFFFF"/>
                <w:sz w:val="20"/>
                <w:szCs w:val="20"/>
              </w:rPr>
              <w:t xml:space="preserve">Used for</w:t>
            </w:r>
          </w:p>
        </w:tc>
      </w:tr>
      <w:tr>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Display / Headlines</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Arial Bold (or Helvetica Neue Bold)</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H1 titles, section headers, major callouts</w:t>
            </w:r>
          </w:p>
        </w:tc>
      </w:tr>
      <w:tr>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Body</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Arial Regular</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Paragraph text, long-form copy</w:t>
            </w:r>
          </w:p>
        </w:tc>
      </w:tr>
      <w:tr>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Captions / Metadata</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Arial Italic, 9–10pt</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Image captions, footnotes, color codes</w:t>
            </w:r>
          </w:p>
        </w:tc>
      </w:tr>
      <w:tr>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Web fallback</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system-ui, -apple-system, Segoe UI, sans-serif</w:t>
            </w:r>
          </w:p>
        </w:tc>
        <w:tc>
          <w:tcPr>
            <w:tcBorders>
              <w:top w:val="single" w:color="D5D5D5" w:sz="4"/>
              <w:left w:val="single" w:color="D5D5D5" w:sz="4"/>
              <w:bottom w:val="single" w:color="D5D5D5" w:sz="4"/>
              <w:right w:val="single" w:color="D5D5D5" w:sz="4"/>
            </w:tcBorders>
            <w:tcMar>
              <w:top w:type="dxa" w:w="100"/>
              <w:left w:type="dxa" w:w="160"/>
              <w:bottom w:type="dxa" w:w="100"/>
              <w:right w:type="dxa" w:w="160"/>
            </w:tcMar>
          </w:tcPr>
          <w:p>
            <w:r>
              <w:rPr>
                <w:rFonts w:ascii="Arial" w:cs="Arial" w:eastAsia="Arial" w:hAnsi="Arial"/>
                <w:color w:val="222222"/>
                <w:sz w:val="22"/>
                <w:szCs w:val="22"/>
              </w:rPr>
              <w:t xml:space="preserve">Web only, when Arial unavailable</w:t>
            </w:r>
          </w:p>
        </w:tc>
      </w:tr>
    </w:tbl>
    <w:p>
      <w:r>
        <w:br w:type="page"/>
      </w:r>
    </w:p>
    <w:p>
      <w:pPr>
        <w:pStyle w:val="Heading1"/>
        <w:spacing w:after="160" w:before="360"/>
      </w:pPr>
      <w:r>
        <w:rPr>
          <w:rFonts w:ascii="Arial" w:cs="Arial" w:eastAsia="Arial" w:hAnsi="Arial"/>
          <w:b/>
          <w:bCs/>
          <w:color w:val="0E2A5A"/>
          <w:sz w:val="32"/>
          <w:szCs w:val="32"/>
        </w:rPr>
        <w:t xml:space="preserve">Approved Messaging</w:t>
      </w:r>
    </w:p>
    <w:p>
      <w:pPr>
        <w:spacing w:after="120" w:line="300"/>
        <w:jc w:val="left"/>
      </w:pPr>
      <w:r>
        <w:rPr>
          <w:rFonts w:ascii="Arial" w:cs="Arial" w:eastAsia="Arial" w:hAnsi="Arial"/>
          <w:b w:val="false"/>
          <w:bCs w:val="false"/>
          <w:i w:val="false"/>
          <w:iCs w:val="false"/>
          <w:color w:val="222222"/>
          <w:sz w:val="22"/>
          <w:szCs w:val="22"/>
        </w:rPr>
        <w:t xml:space="preserve">Three phrases carry GCOC’s voice across donor, institutional, and translational contexts. Use the one that fits the audience; do not invent variants.</w:t>
      </w:r>
    </w:p>
    <w:p>
      <w:pPr>
        <w:pStyle w:val="Heading2"/>
        <w:spacing w:after="120" w:before="240"/>
      </w:pPr>
      <w:r>
        <w:rPr>
          <w:rFonts w:ascii="Arial" w:cs="Arial" w:eastAsia="Arial" w:hAnsi="Arial"/>
          <w:b/>
          <w:bCs/>
          <w:color w:val="0E6B6E"/>
          <w:sz w:val="26"/>
          <w:szCs w:val="26"/>
        </w:rPr>
        <w:t xml:space="preserve">1. Tagline (primary)</w:t>
      </w:r>
    </w:p>
    <w:p>
      <w:pPr>
        <w:pBdr>
          <w:left w:val="single" w:color="22A7C7" w:sz="18" w:space="12"/>
        </w:pBdr>
        <w:spacing w:after="200" w:before="160" w:line="320"/>
        <w:ind w:left="360"/>
        <w:jc w:val="left"/>
      </w:pPr>
      <w:r>
        <w:rPr>
          <w:rFonts w:ascii="Arial" w:cs="Arial" w:eastAsia="Arial" w:hAnsi="Arial"/>
          <w:i/>
          <w:iCs/>
          <w:color w:val="0E2A5A"/>
          <w:sz w:val="24"/>
          <w:szCs w:val="24"/>
        </w:rPr>
        <w:t xml:space="preserve">Better Recovery Begins with Better Evidence.</w:t>
      </w:r>
    </w:p>
    <w:p>
      <w:pPr>
        <w:spacing w:after="120" w:line="300"/>
        <w:jc w:val="left"/>
      </w:pPr>
      <w:r>
        <w:rPr>
          <w:rFonts w:ascii="Arial" w:cs="Arial" w:eastAsia="Arial" w:hAnsi="Arial"/>
          <w:b w:val="false"/>
          <w:bCs w:val="false"/>
          <w:i/>
          <w:iCs/>
          <w:color w:val="5A6E73"/>
          <w:sz w:val="22"/>
          <w:szCs w:val="22"/>
        </w:rPr>
        <w:t xml:space="preserve">The core promise: patient recovery should be studied rigorously and improved systematically.</w:t>
      </w:r>
    </w:p>
    <w:p>
      <w:pPr>
        <w:pStyle w:val="Heading2"/>
        <w:spacing w:after="120" w:before="240"/>
      </w:pPr>
      <w:r>
        <w:rPr>
          <w:rFonts w:ascii="Arial" w:cs="Arial" w:eastAsia="Arial" w:hAnsi="Arial"/>
          <w:b/>
          <w:bCs/>
          <w:color w:val="0E6B6E"/>
          <w:sz w:val="26"/>
          <w:szCs w:val="26"/>
        </w:rPr>
        <w:t xml:space="preserve">2. Institutional line</w:t>
      </w:r>
    </w:p>
    <w:p>
      <w:pPr>
        <w:pBdr>
          <w:left w:val="single" w:color="22A7C7" w:sz="18" w:space="12"/>
        </w:pBdr>
        <w:spacing w:after="200" w:before="160" w:line="320"/>
        <w:ind w:left="360"/>
        <w:jc w:val="left"/>
      </w:pPr>
      <w:r>
        <w:rPr>
          <w:rFonts w:ascii="Arial" w:cs="Arial" w:eastAsia="Arial" w:hAnsi="Arial"/>
          <w:i/>
          <w:iCs/>
          <w:color w:val="0E2A5A"/>
          <w:sz w:val="24"/>
          <w:szCs w:val="24"/>
        </w:rPr>
        <w:t xml:space="preserve">Independent Data Stewardship for Patient-Centered Care.</w:t>
      </w:r>
    </w:p>
    <w:p>
      <w:pPr>
        <w:spacing w:after="120" w:line="300"/>
        <w:jc w:val="left"/>
      </w:pPr>
      <w:r>
        <w:rPr>
          <w:rFonts w:ascii="Arial" w:cs="Arial" w:eastAsia="Arial" w:hAnsi="Arial"/>
          <w:b w:val="false"/>
          <w:bCs w:val="false"/>
          <w:i/>
          <w:iCs/>
          <w:color w:val="5A6E73"/>
          <w:sz w:val="22"/>
          <w:szCs w:val="22"/>
        </w:rPr>
        <w:t xml:space="preserve">For governance, donor, and hospital-facing materials where neutrality and trust are paramount.</w:t>
      </w:r>
    </w:p>
    <w:p>
      <w:pPr>
        <w:pStyle w:val="Heading2"/>
        <w:spacing w:after="120" w:before="240"/>
      </w:pPr>
      <w:r>
        <w:rPr>
          <w:rFonts w:ascii="Arial" w:cs="Arial" w:eastAsia="Arial" w:hAnsi="Arial"/>
          <w:b/>
          <w:bCs/>
          <w:color w:val="0E6B6E"/>
          <w:sz w:val="26"/>
          <w:szCs w:val="26"/>
        </w:rPr>
        <w:t xml:space="preserve">3. Translational line</w:t>
      </w:r>
    </w:p>
    <w:p>
      <w:pPr>
        <w:pBdr>
          <w:left w:val="single" w:color="22A7C7" w:sz="18" w:space="12"/>
        </w:pBdr>
        <w:spacing w:after="200" w:before="160" w:line="320"/>
        <w:ind w:left="360"/>
        <w:jc w:val="left"/>
      </w:pPr>
      <w:r>
        <w:rPr>
          <w:rFonts w:ascii="Arial" w:cs="Arial" w:eastAsia="Arial" w:hAnsi="Arial"/>
          <w:i/>
          <w:iCs/>
          <w:color w:val="0E2A5A"/>
          <w:sz w:val="24"/>
          <w:szCs w:val="24"/>
        </w:rPr>
        <w:t xml:space="preserve">Turning Clinical Experience into Evidence for the Public Good.</w:t>
      </w:r>
    </w:p>
    <w:p>
      <w:pPr>
        <w:spacing w:after="120" w:line="300"/>
        <w:jc w:val="left"/>
      </w:pPr>
      <w:r>
        <w:rPr>
          <w:rFonts w:ascii="Arial" w:cs="Arial" w:eastAsia="Arial" w:hAnsi="Arial"/>
          <w:b w:val="false"/>
          <w:bCs w:val="false"/>
          <w:i/>
          <w:iCs/>
          <w:color w:val="5A6E73"/>
          <w:sz w:val="22"/>
          <w:szCs w:val="22"/>
        </w:rPr>
        <w:t xml:space="preserve">For grants, press, and public-interest communications that connect day-to-day care to scientific learning.</w:t>
      </w:r>
    </w:p>
    <w:p>
      <w:pPr>
        <w:pStyle w:val="Heading1"/>
        <w:spacing w:after="160" w:before="360"/>
      </w:pPr>
      <w:r>
        <w:rPr>
          <w:rFonts w:ascii="Arial" w:cs="Arial" w:eastAsia="Arial" w:hAnsi="Arial"/>
          <w:b/>
          <w:bCs/>
          <w:color w:val="0E2A5A"/>
          <w:sz w:val="32"/>
          <w:szCs w:val="32"/>
        </w:rPr>
        <w:t xml:space="preserve">Relationship to AcureonHealthcare</w:t>
      </w:r>
    </w:p>
    <w:p>
      <w:pPr>
        <w:spacing w:after="120" w:line="300"/>
        <w:jc w:val="left"/>
      </w:pPr>
      <w:r>
        <w:rPr>
          <w:rFonts w:ascii="Arial" w:cs="Arial" w:eastAsia="Arial" w:hAnsi="Arial"/>
          <w:b w:val="false"/>
          <w:bCs w:val="false"/>
          <w:i w:val="false"/>
          <w:iCs w:val="false"/>
          <w:color w:val="222222"/>
          <w:sz w:val="22"/>
          <w:szCs w:val="22"/>
        </w:rPr>
        <w:t xml:space="preserve">GCOC is an independent 501(c)(3) nonprofit. It is not owned, controlled, or directed by AcureonHealthcare or any commercial entity. The two organizations share visual elements (Midnight Navy and Deep Teal) to signal a related ecosystem and shared origin, but they operate under separate governance, separate boards, and separate funding structures.</w:t>
      </w:r>
    </w:p>
    <w:p>
      <w:pPr>
        <w:spacing w:after="120" w:line="300"/>
        <w:jc w:val="left"/>
      </w:pPr>
      <w:r>
        <w:rPr>
          <w:rFonts w:ascii="Arial" w:cs="Arial" w:eastAsia="Arial" w:hAnsi="Arial"/>
          <w:b w:val="false"/>
          <w:bCs w:val="false"/>
          <w:i w:val="false"/>
          <w:iCs w:val="false"/>
          <w:color w:val="222222"/>
          <w:sz w:val="22"/>
          <w:szCs w:val="22"/>
        </w:rPr>
        <w:t xml:space="preserve">In external communications:</w:t>
      </w:r>
    </w:p>
    <w:p>
      <w:pPr>
        <w:pStyle w:val="ListParagraph"/>
        <w:numPr>
          <w:ilvl w:val="0"/>
          <w:numId w:val="2"/>
        </w:numPr>
        <w:spacing w:after="80" w:line="280"/>
      </w:pPr>
      <w:r>
        <w:rPr>
          <w:rFonts w:ascii="Arial" w:cs="Arial" w:eastAsia="Arial" w:hAnsi="Arial"/>
          <w:color w:val="222222"/>
          <w:sz w:val="22"/>
          <w:szCs w:val="22"/>
        </w:rPr>
        <w:t xml:space="preserve">Always describe GCOC as an “independent nonprofit research and data-governance organization.”</w:t>
      </w:r>
    </w:p>
    <w:p>
      <w:pPr>
        <w:pStyle w:val="ListParagraph"/>
        <w:numPr>
          <w:ilvl w:val="0"/>
          <w:numId w:val="2"/>
        </w:numPr>
        <w:spacing w:after="80" w:line="280"/>
      </w:pPr>
      <w:r>
        <w:rPr>
          <w:rFonts w:ascii="Arial" w:cs="Arial" w:eastAsia="Arial" w:hAnsi="Arial"/>
          <w:color w:val="222222"/>
          <w:sz w:val="22"/>
          <w:szCs w:val="22"/>
        </w:rPr>
        <w:t xml:space="preserve">If the AcureonHealthcare relationship is relevant, describe it as a “related ecosystem brand” — not a parent, subsidiary, or affiliate.</w:t>
      </w:r>
    </w:p>
    <w:p>
      <w:pPr>
        <w:pStyle w:val="ListParagraph"/>
        <w:numPr>
          <w:ilvl w:val="0"/>
          <w:numId w:val="2"/>
        </w:numPr>
        <w:spacing w:after="80" w:line="280"/>
      </w:pPr>
      <w:r>
        <w:rPr>
          <w:rFonts w:ascii="Arial" w:cs="Arial" w:eastAsia="Arial" w:hAnsi="Arial"/>
          <w:color w:val="222222"/>
          <w:sz w:val="22"/>
          <w:szCs w:val="22"/>
        </w:rPr>
        <w:t xml:space="preserve">Do not co-brand GCOC and AcureonHealthcare materials without explicit written approval from GCOC governance.</w:t>
      </w:r>
    </w:p>
    <w:p>
      <w:pPr>
        <w:pStyle w:val="Heading1"/>
        <w:spacing w:after="160" w:before="360"/>
      </w:pPr>
      <w:r>
        <w:rPr>
          <w:rFonts w:ascii="Arial" w:cs="Arial" w:eastAsia="Arial" w:hAnsi="Arial"/>
          <w:b/>
          <w:bCs/>
          <w:color w:val="0E2A5A"/>
          <w:sz w:val="32"/>
          <w:szCs w:val="32"/>
        </w:rPr>
        <w:t xml:space="preserve">Standard Boilerplate</w:t>
      </w:r>
    </w:p>
    <w:p>
      <w:pPr>
        <w:spacing w:after="120" w:line="300"/>
        <w:jc w:val="left"/>
      </w:pPr>
      <w:r>
        <w:rPr>
          <w:rFonts w:ascii="Arial" w:cs="Arial" w:eastAsia="Arial" w:hAnsi="Arial"/>
          <w:b w:val="false"/>
          <w:bCs w:val="false"/>
          <w:i w:val="false"/>
          <w:iCs w:val="false"/>
          <w:color w:val="222222"/>
          <w:sz w:val="22"/>
          <w:szCs w:val="22"/>
        </w:rPr>
        <w:t xml:space="preserve">For press releases, partner agreements, and the closing block of formal communications, use the following paragraph verbatim.</w:t>
      </w:r>
    </w:p>
    <w:p>
      <w:pPr>
        <w:pBdr>
          <w:left w:val="single" w:color="0E6B6E" w:sz="18" w:space="12"/>
        </w:pBdr>
        <w:shd w:fill="EFF6F7" w:val="clear"/>
        <w:spacing w:after="160" w:before="160" w:line="320"/>
        <w:ind w:left="360" w:right="360"/>
      </w:pPr>
      <w:r>
        <w:rPr>
          <w:rFonts w:ascii="Arial" w:cs="Arial" w:eastAsia="Arial" w:hAnsi="Arial"/>
          <w:color w:val="222222"/>
          <w:sz w:val="22"/>
          <w:szCs w:val="22"/>
        </w:rPr>
        <w:t xml:space="preserve">About GCOC — Global Clinical Outcomes Collaborative is an independent nonprofit research and data-governance organization based in Bellevue, WA. GCOC provides a trusted framework for multicenter outcomes research, responsible data stewardship, and patient-centered benchmarking across spine and musculoskeletal care. By bringing together surgeons, hospitals, universities, and researchers, GCOC turns real-world recovery into actionable evidence in the public interest.</w:t>
      </w:r>
    </w:p>
    <w:p>
      <w:pPr>
        <w:spacing w:before="480"/>
      </w:pPr>
    </w:p>
    <w:p>
      <w:pPr>
        <w:jc w:val="center"/>
      </w:pPr>
      <w:r>
        <w:rPr>
          <w:rFonts w:ascii="Arial" w:cs="Arial" w:eastAsia="Arial" w:hAnsi="Arial"/>
          <w:b/>
          <w:bCs/>
          <w:color w:val="0E2A5A"/>
          <w:sz w:val="20"/>
          <w:szCs w:val="20"/>
        </w:rPr>
        <w:t xml:space="preserve">Global Clinical Outcomes Collaborative</w:t>
      </w:r>
    </w:p>
    <w:p>
      <w:pPr>
        <w:jc w:val="center"/>
      </w:pPr>
      <w:r>
        <w:rPr>
          <w:rFonts w:ascii="Arial" w:cs="Arial" w:eastAsia="Arial" w:hAnsi="Arial"/>
          <w:color w:val="5A6E73"/>
          <w:sz w:val="18"/>
          <w:szCs w:val="18"/>
        </w:rPr>
        <w:t xml:space="preserve">Independent nonprofit research and data-governance organization</w:t>
      </w:r>
    </w:p>
    <w:p>
      <w:pPr>
        <w:jc w:val="center"/>
      </w:pPr>
      <w:r>
        <w:rPr>
          <w:rFonts w:ascii="Arial" w:cs="Arial" w:eastAsia="Arial" w:hAnsi="Arial"/>
          <w:color w:val="5A6E73"/>
          <w:sz w:val="18"/>
          <w:szCs w:val="18"/>
        </w:rPr>
        <w:t xml:space="preserve">Bellevue, WA  •  Related ecosystem brand to AcureonHealthcare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2A5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E6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7ddfa9106cf2de5813772fb941a4d1e853533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GCOC Brand Identity Guide</dc:title>
  <dc:creator>Claude</dc:creator>
  <cp:lastModifiedBy>Un-named</cp:lastModifiedBy>
  <cp:revision>1</cp:revision>
  <dcterms:created xsi:type="dcterms:W3CDTF">2026-04-25T01:34:32.673Z</dcterms:created>
  <dcterms:modified xsi:type="dcterms:W3CDTF">2026-04-25T01:34:32.673Z</dcterms:modified>
</cp:coreProperties>
</file>

<file path=docProps/custom.xml><?xml version="1.0" encoding="utf-8"?>
<Properties xmlns="http://schemas.openxmlformats.org/officeDocument/2006/custom-properties" xmlns:vt="http://schemas.openxmlformats.org/officeDocument/2006/docPropsVTypes"/>
</file>