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of inflation and the cost of living on social inequality and future trends in the UK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Research Problem: </w:t>
      </w:r>
      <w:r w:rsidDel="00000000" w:rsidR="00000000" w:rsidRPr="00000000">
        <w:rPr>
          <w:sz w:val="20"/>
          <w:szCs w:val="20"/>
          <w:rtl w:val="0"/>
        </w:rPr>
        <w:t xml:space="preserve">The UK cost-of-living shock matters both economically and socially because it combines three pressures at once: i) sharp increases in food and energy prices, (ii) elevated housing costs through rents and mortgage payments, and (iii) monetary policy tightening that raises economy-wide borrowing costs. CPI inflation peaked at 11.1% in October 2022, while Bank Rate reached 5.25% in August 2023 before stabilising and subsequently beginning to ease slightly as inflationary pressures moderated and markets priced in gradual rate cuts. These pressures transmit through three reinforcing channels: (i) inflation in essential goods, particularly food, energy, and housing-related costs, raises the cost of basic consumption, (ii) nominal wages adjust more slowly than prices, leading to a decline in real disposable income, and (iii) higher interest rates increase debt-servicing costs for mortgage holders and are partially passed through into rental markets via landlords’ financing costs. The shock is therefore distributional. Lower-income households are disproportionately affected because they allocate a larger share of expenditure to essentials. As a result, (i) higher prices in necessities, (ii) slower wage adjustment, and (iii) interest rate pass-through collectively generate larger proportional reductions in real purchasing power at the lower end of the income distribution.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Research Question: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How do inflation and housing-cost pressures affect the purchasing power and economic vulnerability across income groups in the UK, and to what extent do inflation, interest rates and unemployment help predict short-term movements in rents and house prices? 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Interdisciplinary link</w:t>
      </w:r>
    </w:p>
    <w:p w:rsidR="00000000" w:rsidDel="00000000" w:rsidP="00000000" w:rsidRDefault="00000000" w:rsidRPr="00000000" w14:paraId="00000007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Macroeconomics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CPI/CPIH inflation, Bank Rate, and housing indicators show how inflation and monetary tightening affected affordability, borrowing conditions and housing-market pressure in the UK. The official ONS explains that large contributions came from housing and household services, with other large contributions from food and non-alcoholic beverages and transport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Microeconomics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At household level, the shock operates through budget constraints. Rising prices reduce real disposable income, while higher interest rates increase mortgage and loan repayments via higher debt-servicing costs.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Social sciences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The burden is regressive because lower-income households spend a larger share of their expenditure on essentials. In FYE 2024, the poorest fifth of UK households spent 27% of total expenditure on housing (net), fuel and power, compared with 5% for the richest fifth. 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Hypothesis </w:t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H1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Higher inflation is associated with a larger fall in real equivalised household income for </w:t>
      </w:r>
      <w:r w:rsidDel="00000000" w:rsidR="00000000" w:rsidRPr="00000000">
        <w:rPr>
          <w:sz w:val="20"/>
          <w:szCs w:val="20"/>
          <w:rtl w:val="0"/>
        </w:rPr>
        <w:t xml:space="preserve">lower-income households than for higher-income households, because essentials account for a larger share of their expenditure.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H2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Higher rents and housing-related costs are associated with a larger increase in the share of total expenditure spent on housing (net), fuel and power for lower-income households than for higher-income households.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H3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CPI/CPIH inflation, Bank Rate and unemployment are statistically significant predictors of short-term changes in private rent inflation and house price inflation in the UK.</w:t>
      </w:r>
    </w:p>
    <w:p w:rsidR="00000000" w:rsidDel="00000000" w:rsidP="00000000" w:rsidRDefault="00000000" w:rsidRPr="00000000" w14:paraId="00000013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Institutional References</w:t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Bankofengland.co.uk.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Bank Rate maintained at 3.75% - March 2026 Monetary Policy Summary and Minutes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[online] Available at: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https://www.bankofengland.co.uk/monetary-policy-summary-and-minutes/2026/march-2026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Ons.gov.uk.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Family spending in the UK: April 2023 to March 2024 - Office for National Statistics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[online] Available at: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https://www.ons.gov.uk/releases/familyspendingintheukapril2023tomarch2024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Ons.gov.uk.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Household income inequality, UK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[online] Available at: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https://www.ons.gov.uk/peoplepopulationandcommunity/personalandhouseholdfinances/incomeandwealth/bulletins/householdincomeinequalityfinancial/financialyearending2024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Ons.gov.uk.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Private rent and house prices, UK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[online] Available at: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https://www.ons.gov.uk/economy/inflationandpriceindices/bulletins/privaterentandhousepricesuk/march2026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www.ons.gov.uk. (2022).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Consumer price inflation, UK - Office for National Statistics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[online] Available at: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https://www.ons.gov.uk/economy/inflationandpriceindices/bulletins/consumerpriceinflation/october2022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ons.gov.uk/economy/inflationandpriceindices/bulletins/consumerpriceinflation/october2022" TargetMode="External"/><Relationship Id="rId9" Type="http://schemas.openxmlformats.org/officeDocument/2006/relationships/hyperlink" Target="https://www.ons.gov.uk/economy/inflationandpriceindices/bulletins/privaterentandhousepricesuk/march202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ankofengland.co.uk/monetary-policy-summary-and-minutes/2026/march-2026" TargetMode="External"/><Relationship Id="rId7" Type="http://schemas.openxmlformats.org/officeDocument/2006/relationships/hyperlink" Target="https://www.ons.gov.uk/releases/familyspendingintheukapril2023tomarch2024" TargetMode="External"/><Relationship Id="rId8" Type="http://schemas.openxmlformats.org/officeDocument/2006/relationships/hyperlink" Target="https://www.ons.gov.uk/peoplepopulationandcommunity/personalandhouseholdfinances/incomeandwealth/bulletins/householdincomeinequalityfinancial/financialyearending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