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A6FA69">
      <w:pPr>
        <w:jc w:val="center"/>
      </w:pPr>
      <w:r>
        <w:rPr>
          <w:b/>
          <w:sz w:val="36"/>
        </w:rPr>
        <w:t>The Impact of Inflation and Housing Costs on Social Inequality in the UK</w:t>
      </w:r>
    </w:p>
    <w:p w14:paraId="7BE14D75">
      <w:pPr>
        <w:jc w:val="center"/>
      </w:pPr>
      <w:r>
        <w:rPr>
          <w:i/>
        </w:rPr>
        <w:t>Day 7 Final Report | April 2026</w:t>
      </w:r>
    </w:p>
    <w:p w14:paraId="0D656E01">
      <w:pPr>
        <w:pStyle w:val="2"/>
        <w:jc w:val="both"/>
      </w:pPr>
      <w:r>
        <w:t>1. Executive Summary</w:t>
      </w:r>
    </w:p>
    <w:p w14:paraId="0739D071">
      <w:pPr>
        <w:jc w:val="both"/>
      </w:pPr>
      <w:r>
        <w:t>This project examines the UK cost-of-living shock through inflation, housing costs, interest rates, unemployment, and income distribution. The strongest result is distributional rather than predictive: the same housing-cost shock absorbs a much larger share of income for lower-income deciles.</w:t>
      </w:r>
    </w:p>
    <w:p w14:paraId="4FFE3BBE">
      <w:pPr>
        <w:jc w:val="both"/>
      </w:pPr>
      <w:r>
        <w:t>The Day 6 stylised burden calculation applies one £2,013 annual mortgage-cost benchmark across deciles. It represents 18.8% of Decile 1 income versus 1.9% of Decile 10 income. This illustrates regressivity, not a literal payment increase faced by every household.</w:t>
      </w:r>
    </w:p>
    <w:p w14:paraId="6746C6CE">
      <w:pPr>
        <w:jc w:val="both"/>
      </w:pPr>
      <w:r>
        <w:t xml:space="preserve">The modelling pipeline is reproducible and leakage-aware, but holdout performance is weak: Linear Regression </w:t>
      </w:r>
      <m:oMath>
        <m:sSup>
          <m:sSupPr>
            <m:ctrlPr>
              <w:rPr>
                <w:rFonts w:ascii="Cambria Math" w:hAnsi="Cambria Math"/>
                <w:i/>
                <w:lang w:eastAsia="zh-CN"/>
              </w:rPr>
            </m:ctrlPr>
          </m:sSupPr>
          <m:e>
            <m:r>
              <m:rPr/>
              <w:rPr>
                <w:rFonts w:hint="eastAsia" w:ascii="Cambria Math" w:hAnsi="Cambria Math"/>
                <w:lang w:eastAsia="zh-CN"/>
              </w:rPr>
              <m:t>R</m:t>
            </m:r>
            <m:ctrlPr>
              <w:rPr>
                <w:rFonts w:hint="eastAsia" w:ascii="Cambria Math" w:hAnsi="Cambria Math"/>
                <w:i/>
                <w:lang w:eastAsia="zh-CN"/>
              </w:rPr>
            </m:ctrlPr>
          </m:e>
          <m:sup>
            <m:r>
              <m:rPr/>
              <w:rPr>
                <w:rFonts w:ascii="Cambria Math" w:hAnsi="Cambria Math"/>
                <w:lang w:eastAsia="zh-CN"/>
              </w:rPr>
              <m:t>2</m:t>
            </m:r>
            <m:ctrlPr>
              <w:rPr>
                <w:rFonts w:ascii="Cambria Math" w:hAnsi="Cambria Math"/>
                <w:i/>
                <w:lang w:eastAsia="zh-CN"/>
              </w:rPr>
            </m:ctrlPr>
          </m:sup>
        </m:sSup>
      </m:oMath>
      <w:r>
        <w:t xml:space="preserve"> = -28.506 and Random Forest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sup>
        </m:sSup>
      </m:oMath>
      <w:r>
        <w:t xml:space="preserve"> = -7.386. The models should therefore be presented as descriptive association tools, not reliable forecasters.</w:t>
      </w:r>
    </w:p>
    <w:p w14:paraId="2145C46C">
      <w:pPr>
        <w:pStyle w:val="2"/>
        <w:jc w:val="both"/>
      </w:pPr>
      <w:r>
        <w:t>2. Research Question and Hypotheses</w:t>
      </w:r>
    </w:p>
    <w:p w14:paraId="0C8D392E">
      <w:pPr>
        <w:jc w:val="both"/>
      </w:pPr>
      <w:r>
        <w:t>Research question: How do inflation and housing-cost pressures affect the purchasing power and economic vulnerability of different income groups in the UK, and how much short-term housing signal can be extracted from lagged macroeconomic variables?</w:t>
      </w:r>
    </w:p>
    <w:p w14:paraId="20D75A4D">
      <w:pPr>
        <w:pStyle w:val="23"/>
        <w:jc w:val="both"/>
      </w:pPr>
      <w:r>
        <w:t>H1: Higher inflation is associated with larger real-income pressure for lower-income deciles.</w:t>
      </w:r>
    </w:p>
    <w:p w14:paraId="00B0057B">
      <w:pPr>
        <w:pStyle w:val="23"/>
        <w:jc w:val="both"/>
      </w:pPr>
      <w:r>
        <w:t>H2: Housing-cost pressure is regressive because fixed or similar cash costs absorb a larger income share for lower-income households.</w:t>
      </w:r>
    </w:p>
    <w:p w14:paraId="7BCEFA6D">
      <w:pPr>
        <w:pStyle w:val="23"/>
        <w:jc w:val="both"/>
      </w:pPr>
      <w:r>
        <w:t>H3: Lagged macro variables may contain short-term signal for the House Price Index, but this must be tested on a chronological holdout.</w:t>
      </w:r>
    </w:p>
    <w:p w14:paraId="4E6A1106">
      <w:pPr>
        <w:pStyle w:val="2"/>
        <w:jc w:val="both"/>
      </w:pPr>
      <w:r>
        <w:t>3. Data and Preprocessing</w:t>
      </w:r>
    </w:p>
    <w:p w14:paraId="561BE7EC">
      <w:pPr>
        <w:jc w:val="both"/>
      </w:pPr>
      <w:r>
        <w:t>The Day 2 pipeline uses official UK sources and keeps raw files unchanged in data/raw/. Cleaned datasets are written to data/processed/ with consistent Day 2 names. The current monthly macro table covers March 2021 to January 2026 with 59 rows.</w:t>
      </w:r>
    </w:p>
    <w:p w14:paraId="079D3349">
      <w:pPr>
        <w:pStyle w:val="23"/>
        <w:jc w:val="both"/>
      </w:pPr>
      <w:r>
        <w:t>Inflation: ONS CPIH annual rate, used because it includes owner-occupiers' housing costs.</w:t>
      </w:r>
    </w:p>
    <w:p w14:paraId="34C5363C">
      <w:pPr>
        <w:pStyle w:val="23"/>
        <w:jc w:val="both"/>
      </w:pPr>
      <w:r>
        <w:t>Housing: GOV.UK UK House Price Index, represented by the monthly HPI index.</w:t>
      </w:r>
    </w:p>
    <w:p w14:paraId="0CBE76EA">
      <w:pPr>
        <w:pStyle w:val="23"/>
        <w:jc w:val="both"/>
      </w:pPr>
      <w:r>
        <w:t>Bank Rate: Bank of England policy rate, converted to a monthly snapshot.</w:t>
      </w:r>
    </w:p>
    <w:p w14:paraId="01E49DB1">
      <w:pPr>
        <w:pStyle w:val="23"/>
        <w:jc w:val="both"/>
      </w:pPr>
      <w:r>
        <w:t>Unemployment: ONS unemployment rate, used as a labour-market context variable.</w:t>
      </w:r>
    </w:p>
    <w:p w14:paraId="3A8248FF">
      <w:pPr>
        <w:pStyle w:val="23"/>
        <w:jc w:val="both"/>
      </w:pPr>
      <w:r>
        <w:t>Income: ONS income by decile, annual and kept separate from the monthly macro file.</w:t>
      </w:r>
    </w:p>
    <w:p w14:paraId="3337333C">
      <w:pPr>
        <w:jc w:val="both"/>
      </w:pPr>
      <w:r>
        <w:t>Annual income covers March 2020 to March 2024 with 50 rows. It is not mechanically expanded into monthly data. The March year_month value is a reference anchor only, and income_expanded_flag remains False to avoid false precision.</w:t>
      </w:r>
    </w:p>
    <w:p w14:paraId="67B5520C">
      <w:pPr>
        <w:jc w:val="both"/>
      </w:pPr>
      <w:r>
        <w:t>The monthly macro file retains 1 structural missing unemployment value because the macro window extends beyond the latest published unemployment month. It is not hidden through imputation.</w:t>
      </w:r>
    </w:p>
    <w:p w14:paraId="32197A9D">
      <w:pPr>
        <w:pStyle w:val="2"/>
        <w:jc w:val="both"/>
      </w:pPr>
      <w:r>
        <w:t>4. Exploratory Analysis</w:t>
      </w:r>
    </w:p>
    <w:p w14:paraId="1681B43A">
      <w:pPr>
        <w:jc w:val="both"/>
      </w:pPr>
      <w:r>
        <w:t>Day 3 is exploratory analysis, not causal proof. This exploratory stage sits against a genuine macroeconomic shock: CPI inflation reached 11.1% in October 2022, while Bank Rate later reached 5.25% in August 2023, so the project is analysing an unusually severe cost-of-living period rather than a normal macroeconomic backdrop.</w:t>
      </w:r>
      <w:r>
        <w:rPr>
          <w:rFonts w:hint="eastAsia"/>
          <w:lang w:eastAsia="zh-CN"/>
        </w:rPr>
        <w:t xml:space="preserve"> </w:t>
      </w:r>
      <w:r>
        <w:t>It uses the cleaned Day 2 outputs to describe the macro context, affordability patterns, and distributional pressure.</w:t>
      </w:r>
    </w:p>
    <w:p w14:paraId="08EBCAB9">
      <w:pPr>
        <w:jc w:val="both"/>
      </w:pPr>
      <w:r>
        <w:drawing>
          <wp:inline distT="0" distB="0" distL="0" distR="0">
            <wp:extent cx="5760720" cy="46996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99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CD0C8">
      <w:pPr>
        <w:jc w:val="both"/>
      </w:pPr>
      <w:r>
        <w:t>Figure 1. Macro context: CPIH inflation, House Price Index, Bank Rate, and unemployment.</w:t>
      </w:r>
    </w:p>
    <w:p w14:paraId="44725DA0">
      <w:pPr>
        <w:jc w:val="both"/>
      </w:pPr>
      <w:r>
        <w:t>The EDA shows the recent inflation shock, the Bank Rate tightening cycle, and a housing market that did not move in a simple one-for-one way with interest rates. Correlations are informative but unstable in a short macro window.</w:t>
      </w:r>
    </w:p>
    <w:p w14:paraId="727E9C36">
      <w:pPr>
        <w:jc w:val="both"/>
      </w:pPr>
      <w:r>
        <w:t>The social-pressure analysis supports the broad affordability concern, but the decile proxy is treated cautiously. It does not prove a perfect monotonic 1-to-10 gradient in every measure; instead, it shows that affordability pressure is significant and uneven across income groups.</w:t>
      </w:r>
    </w:p>
    <w:p w14:paraId="7E3BC2B1">
      <w:pPr>
        <w:pStyle w:val="2"/>
        <w:jc w:val="both"/>
      </w:pPr>
      <w:r>
        <w:t>5. Model Setup</w:t>
      </w:r>
    </w:p>
    <w:p w14:paraId="55A902E6">
      <w:pPr>
        <w:jc w:val="both"/>
      </w:pPr>
      <w:r>
        <w:t>The Day 4 modelling target is monthly house_price_index. The model-ready dataset covers June 2021 to January 2026 with 56 usable rows after lag creation.</w:t>
      </w:r>
    </w:p>
    <w:p w14:paraId="4FE12279">
      <w:pPr>
        <w:pStyle w:val="23"/>
        <w:jc w:val="both"/>
      </w:pPr>
      <w:r>
        <w:t>Features: inflation_rate_lag1, unemployment_rate_lag1, bank_rate_lag1, and bank_rate_lag3.</w:t>
      </w:r>
    </w:p>
    <w:p w14:paraId="0AF44B89">
      <w:pPr>
        <w:pStyle w:val="23"/>
        <w:jc w:val="both"/>
      </w:pPr>
      <w:r>
        <w:t>Split: chronological 80/20 with 44 training rows and 12 holdout rows.</w:t>
      </w:r>
    </w:p>
    <w:p w14:paraId="5902767F">
      <w:pPr>
        <w:pStyle w:val="23"/>
        <w:jc w:val="both"/>
      </w:pPr>
      <w:r>
        <w:t>Baseline: Linear Regression, chosen for interpretability.</w:t>
      </w:r>
    </w:p>
    <w:p w14:paraId="4E88DB06">
      <w:pPr>
        <w:pStyle w:val="23"/>
        <w:jc w:val="both"/>
      </w:pPr>
      <w:r>
        <w:t>Comparison: Random Forest, included only as a simple nonlinear comparison without tuning.</w:t>
      </w:r>
    </w:p>
    <w:p w14:paraId="73475CCD">
      <w:pPr>
        <w:pStyle w:val="23"/>
        <w:jc w:val="both"/>
      </w:pPr>
      <w:r>
        <w:t>Leakage prevention: only lagged predictors are used; no random shuffling or test-set preprocessing is used.</w:t>
      </w:r>
    </w:p>
    <w:p w14:paraId="13C02CB2">
      <w:pPr>
        <w:pStyle w:val="2"/>
        <w:jc w:val="both"/>
      </w:pPr>
      <w:r>
        <w:t>6. Model Evaluation</w:t>
      </w:r>
    </w:p>
    <w:p w14:paraId="4E7F64AE">
      <w:pPr>
        <w:jc w:val="both"/>
      </w:pPr>
      <w:r>
        <w:t>Day 5 evaluates the frozen Day 4 holdout set without retraining. Metrics measure generalisation only; they do not establish causal relationships.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2F14B93E">
        <w:tc>
          <w:tcPr>
            <w:tcW w:w="1728" w:type="dxa"/>
          </w:tcPr>
          <w:p w14:paraId="08465403">
            <w:pPr>
              <w:spacing w:after="0" w:line="240" w:lineRule="auto"/>
              <w:jc w:val="both"/>
            </w:pPr>
            <w:r>
              <w:t>Model</w:t>
            </w:r>
          </w:p>
        </w:tc>
        <w:tc>
          <w:tcPr>
            <w:tcW w:w="1728" w:type="dxa"/>
          </w:tcPr>
          <w:p w14:paraId="0D11A0AE">
            <w:pPr>
              <w:spacing w:after="0" w:line="240" w:lineRule="auto"/>
              <w:jc w:val="both"/>
            </w:pPr>
            <w:r>
              <w:t>Role</w:t>
            </w:r>
          </w:p>
        </w:tc>
        <w:tc>
          <w:tcPr>
            <w:tcW w:w="1728" w:type="dxa"/>
          </w:tcPr>
          <w:p w14:paraId="784DDF6A">
            <w:pPr>
              <w:spacing w:after="0" w:line="240" w:lineRule="auto"/>
              <w:jc w:val="both"/>
            </w:pPr>
            <w:r>
              <w:t>MAE</w:t>
            </w:r>
          </w:p>
        </w:tc>
        <w:tc>
          <w:tcPr>
            <w:tcW w:w="1728" w:type="dxa"/>
          </w:tcPr>
          <w:p w14:paraId="5E80EC27">
            <w:pPr>
              <w:spacing w:after="0" w:line="240" w:lineRule="auto"/>
              <w:jc w:val="both"/>
            </w:pPr>
            <w:r>
              <w:t>RMSE</w:t>
            </w:r>
          </w:p>
        </w:tc>
        <w:tc>
          <w:tcPr>
            <w:tcW w:w="1728" w:type="dxa"/>
          </w:tcPr>
          <w:p w14:paraId="12F07DBF">
            <w:pPr>
              <w:spacing w:after="0" w:line="240" w:lineRule="auto"/>
              <w:jc w:val="both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eastAsia="zh-CN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/>
                        <w:lang w:eastAsia="zh-CN"/>
                      </w:rPr>
                      <m:t>R</m:t>
                    </m:r>
                    <m:ctrlPr>
                      <w:rPr>
                        <w:rFonts w:hint="eastAsia" w:ascii="Cambria Math" w:hAnsi="Cambria Math"/>
                        <w:i/>
                        <w:lang w:eastAsia="zh-CN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lang w:eastAsia="zh-CN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  <w:lang w:eastAsia="zh-CN"/>
                      </w:rPr>
                    </m:ctrlPr>
                  </m:sup>
                </m:sSup>
              </m:oMath>
            </m:oMathPara>
          </w:p>
        </w:tc>
      </w:tr>
      <w:tr w14:paraId="02EA23B9">
        <w:tc>
          <w:tcPr>
            <w:tcW w:w="1728" w:type="dxa"/>
          </w:tcPr>
          <w:p w14:paraId="4913437C">
            <w:pPr>
              <w:spacing w:after="0" w:line="240" w:lineRule="auto"/>
              <w:jc w:val="both"/>
            </w:pPr>
            <w:r>
              <w:t>Linear Regression</w:t>
            </w:r>
          </w:p>
        </w:tc>
        <w:tc>
          <w:tcPr>
            <w:tcW w:w="1728" w:type="dxa"/>
          </w:tcPr>
          <w:p w14:paraId="0310BC39">
            <w:pPr>
              <w:spacing w:after="0" w:line="240" w:lineRule="auto"/>
              <w:jc w:val="both"/>
            </w:pPr>
            <w:r>
              <w:t>Baseline</w:t>
            </w:r>
          </w:p>
        </w:tc>
        <w:tc>
          <w:tcPr>
            <w:tcW w:w="1728" w:type="dxa"/>
          </w:tcPr>
          <w:p w14:paraId="341197D2">
            <w:pPr>
              <w:spacing w:after="0" w:line="240" w:lineRule="auto"/>
              <w:jc w:val="both"/>
            </w:pPr>
            <w:r>
              <w:t>6.377</w:t>
            </w:r>
          </w:p>
        </w:tc>
        <w:tc>
          <w:tcPr>
            <w:tcW w:w="1728" w:type="dxa"/>
          </w:tcPr>
          <w:p w14:paraId="21FA2737">
            <w:pPr>
              <w:spacing w:after="0" w:line="240" w:lineRule="auto"/>
              <w:jc w:val="both"/>
            </w:pPr>
            <w:r>
              <w:t>6.783</w:t>
            </w:r>
          </w:p>
        </w:tc>
        <w:tc>
          <w:tcPr>
            <w:tcW w:w="1728" w:type="dxa"/>
          </w:tcPr>
          <w:p w14:paraId="14BF1DE2">
            <w:pPr>
              <w:spacing w:after="0" w:line="240" w:lineRule="auto"/>
              <w:jc w:val="both"/>
            </w:pPr>
            <w:r>
              <w:t>-28.506</w:t>
            </w:r>
          </w:p>
        </w:tc>
      </w:tr>
      <w:tr w14:paraId="0593A1CC">
        <w:tc>
          <w:tcPr>
            <w:tcW w:w="1728" w:type="dxa"/>
          </w:tcPr>
          <w:p w14:paraId="6B6921A8">
            <w:pPr>
              <w:spacing w:after="0" w:line="240" w:lineRule="auto"/>
              <w:jc w:val="both"/>
            </w:pPr>
            <w:r>
              <w:t>Random Forest</w:t>
            </w:r>
          </w:p>
        </w:tc>
        <w:tc>
          <w:tcPr>
            <w:tcW w:w="1728" w:type="dxa"/>
          </w:tcPr>
          <w:p w14:paraId="3B3D25BE">
            <w:pPr>
              <w:spacing w:after="0" w:line="240" w:lineRule="auto"/>
              <w:jc w:val="both"/>
            </w:pPr>
            <w:r>
              <w:t>Comparison</w:t>
            </w:r>
          </w:p>
        </w:tc>
        <w:tc>
          <w:tcPr>
            <w:tcW w:w="1728" w:type="dxa"/>
          </w:tcPr>
          <w:p w14:paraId="33DDB03B">
            <w:pPr>
              <w:spacing w:after="0" w:line="240" w:lineRule="auto"/>
              <w:jc w:val="both"/>
            </w:pPr>
            <w:r>
              <w:t>3.371</w:t>
            </w:r>
          </w:p>
        </w:tc>
        <w:tc>
          <w:tcPr>
            <w:tcW w:w="1728" w:type="dxa"/>
          </w:tcPr>
          <w:p w14:paraId="5ABEA8D7">
            <w:pPr>
              <w:spacing w:after="0" w:line="240" w:lineRule="auto"/>
              <w:jc w:val="both"/>
            </w:pPr>
            <w:r>
              <w:t>3.616</w:t>
            </w:r>
          </w:p>
        </w:tc>
        <w:tc>
          <w:tcPr>
            <w:tcW w:w="1728" w:type="dxa"/>
          </w:tcPr>
          <w:p w14:paraId="5F601F0A">
            <w:pPr>
              <w:spacing w:after="0" w:line="240" w:lineRule="auto"/>
              <w:jc w:val="both"/>
            </w:pPr>
            <w:r>
              <w:t>-7.386</w:t>
            </w:r>
          </w:p>
        </w:tc>
      </w:tr>
    </w:tbl>
    <w:p w14:paraId="0BB2B673">
      <w:pPr>
        <w:jc w:val="both"/>
      </w:pPr>
      <w:r>
        <w:t xml:space="preserve">Both holdout </w:t>
      </w:r>
      <m:oMath>
        <m:sSup>
          <m:sSupPr>
            <m:ctrlPr>
              <w:rPr>
                <w:rFonts w:ascii="Cambria Math" w:hAnsi="Cambria Math"/>
                <w:i/>
                <w:lang w:eastAsia="zh-CN"/>
              </w:rPr>
            </m:ctrlPr>
          </m:sSupPr>
          <m:e>
            <m:r>
              <m:rPr/>
              <w:rPr>
                <w:rFonts w:hint="eastAsia" w:ascii="Cambria Math" w:hAnsi="Cambria Math"/>
                <w:lang w:eastAsia="zh-CN"/>
              </w:rPr>
              <m:t>R</m:t>
            </m:r>
            <m:ctrlPr>
              <w:rPr>
                <w:rFonts w:hint="eastAsia" w:ascii="Cambria Math" w:hAnsi="Cambria Math"/>
                <w:i/>
                <w:lang w:eastAsia="zh-CN"/>
              </w:rPr>
            </m:ctrlPr>
          </m:e>
          <m:sup>
            <m:r>
              <m:rPr/>
              <w:rPr>
                <w:rFonts w:ascii="Cambria Math" w:hAnsi="Cambria Math"/>
                <w:lang w:eastAsia="zh-CN"/>
              </w:rPr>
              <m:t>2</m:t>
            </m:r>
            <m:ctrlPr>
              <w:rPr>
                <w:rFonts w:ascii="Cambria Math" w:hAnsi="Cambria Math"/>
                <w:i/>
                <w:lang w:eastAsia="zh-CN"/>
              </w:rPr>
            </m:ctrlPr>
          </m:sup>
        </m:sSup>
      </m:oMath>
      <w:r>
        <w:t xml:space="preserve"> values are negative, so neither model beats a naive mean prediction on unseen data. Random Forest has lower MAE and RMSE than Linear Regression, but it is still not a strong forecasting tool.</w:t>
      </w:r>
    </w:p>
    <w:p w14:paraId="620E1B1D">
      <w:pPr>
        <w:jc w:val="both"/>
      </w:pPr>
      <w:r>
        <w:drawing>
          <wp:inline distT="0" distB="0" distL="0" distR="0">
            <wp:extent cx="5648325" cy="2974340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1786" cy="2997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3105C">
      <w:pPr>
        <w:jc w:val="both"/>
      </w:pPr>
      <w:r>
        <w:t>Figure 2. Day 5 residual diagnostic: model errors on the frozen holdout set.</w:t>
      </w:r>
    </w:p>
    <w:p w14:paraId="0C0777AF">
      <w:pPr>
        <w:jc w:val="both"/>
      </w:pPr>
      <w:r>
        <w:t>The BBC sentiment sample contains 23 negative, 14 neutral, and 13 positive classifications. This is qualitative media context only, not proof of household welfare or a causal economic mechanism.</w:t>
      </w:r>
    </w:p>
    <w:p w14:paraId="15873B62">
      <w:pPr>
        <w:pStyle w:val="2"/>
        <w:jc w:val="both"/>
      </w:pPr>
      <w:r>
        <w:t>7. Day 6 Scenario and Policy Interpretation</w:t>
      </w:r>
    </w:p>
    <w:p w14:paraId="7FFDEB06">
      <w:pPr>
        <w:jc w:val="both"/>
      </w:pPr>
      <w:r>
        <w:t>Day 6 applies a +1 percentage point Bank Rate shock to bank_rate_lag1 and bank_rate_lag3. The scenario delta is scenario prediction minus baseline prediction.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8116CCA">
        <w:tc>
          <w:tcPr>
            <w:tcW w:w="2880" w:type="dxa"/>
          </w:tcPr>
          <w:p w14:paraId="4B2E4FDF">
            <w:pPr>
              <w:spacing w:after="0" w:line="240" w:lineRule="auto"/>
              <w:jc w:val="both"/>
            </w:pPr>
            <w:r>
              <w:t>Model</w:t>
            </w:r>
          </w:p>
        </w:tc>
        <w:tc>
          <w:tcPr>
            <w:tcW w:w="2880" w:type="dxa"/>
          </w:tcPr>
          <w:p w14:paraId="4ABB003E">
            <w:pPr>
              <w:spacing w:after="0" w:line="240" w:lineRule="auto"/>
              <w:jc w:val="both"/>
            </w:pPr>
            <w:r>
              <w:t>Mean HPI delta</w:t>
            </w:r>
          </w:p>
        </w:tc>
        <w:tc>
          <w:tcPr>
            <w:tcW w:w="2880" w:type="dxa"/>
          </w:tcPr>
          <w:p w14:paraId="03052963">
            <w:pPr>
              <w:spacing w:after="0" w:line="240" w:lineRule="auto"/>
              <w:jc w:val="both"/>
            </w:pPr>
            <w:r>
              <w:t>Relative change</w:t>
            </w:r>
          </w:p>
        </w:tc>
      </w:tr>
      <w:tr w14:paraId="06F70061">
        <w:tc>
          <w:tcPr>
            <w:tcW w:w="2880" w:type="dxa"/>
          </w:tcPr>
          <w:p w14:paraId="4F877992">
            <w:pPr>
              <w:spacing w:after="0" w:line="240" w:lineRule="auto"/>
              <w:jc w:val="both"/>
            </w:pPr>
            <w:r>
              <w:t>Linear Regression</w:t>
            </w:r>
          </w:p>
        </w:tc>
        <w:tc>
          <w:tcPr>
            <w:tcW w:w="2880" w:type="dxa"/>
          </w:tcPr>
          <w:p w14:paraId="1B4FADEF">
            <w:pPr>
              <w:spacing w:after="0" w:line="240" w:lineRule="auto"/>
              <w:jc w:val="both"/>
            </w:pPr>
            <w:r>
              <w:t>+1.074</w:t>
            </w:r>
          </w:p>
        </w:tc>
        <w:tc>
          <w:tcPr>
            <w:tcW w:w="2880" w:type="dxa"/>
          </w:tcPr>
          <w:p w14:paraId="5AD05FC5">
            <w:pPr>
              <w:spacing w:after="0" w:line="240" w:lineRule="auto"/>
              <w:jc w:val="both"/>
            </w:pPr>
            <w:r>
              <w:t>1.098%</w:t>
            </w:r>
          </w:p>
        </w:tc>
      </w:tr>
      <w:tr w14:paraId="414B8134">
        <w:tc>
          <w:tcPr>
            <w:tcW w:w="2880" w:type="dxa"/>
          </w:tcPr>
          <w:p w14:paraId="4CD64DB9">
            <w:pPr>
              <w:spacing w:after="0" w:line="240" w:lineRule="auto"/>
              <w:jc w:val="both"/>
            </w:pPr>
            <w:r>
              <w:t>Random Forest</w:t>
            </w:r>
          </w:p>
        </w:tc>
        <w:tc>
          <w:tcPr>
            <w:tcW w:w="2880" w:type="dxa"/>
          </w:tcPr>
          <w:p w14:paraId="54708CCB">
            <w:pPr>
              <w:spacing w:after="0" w:line="240" w:lineRule="auto"/>
              <w:jc w:val="both"/>
            </w:pPr>
            <w:r>
              <w:t>+1.144</w:t>
            </w:r>
          </w:p>
        </w:tc>
        <w:tc>
          <w:tcPr>
            <w:tcW w:w="2880" w:type="dxa"/>
          </w:tcPr>
          <w:p w14:paraId="7CD638BC">
            <w:pPr>
              <w:spacing w:after="0" w:line="240" w:lineRule="auto"/>
              <w:jc w:val="both"/>
            </w:pPr>
            <w:r>
              <w:t>1.161%</w:t>
            </w:r>
          </w:p>
        </w:tc>
      </w:tr>
    </w:tbl>
    <w:p w14:paraId="08A879F1">
      <w:pPr>
        <w:jc w:val="both"/>
      </w:pPr>
      <w:r>
        <w:t>The small positive scenario result is internally consistent with the fitted model, but it is not a causal estimate and does not imply that higher rates raise house prices. It reflects the short 2021-2026 window and the fitted lag structure, where Bank Rate and HPI co-moved during part of the tightening cycle.</w:t>
      </w:r>
    </w:p>
    <w:p w14:paraId="425AC20E">
      <w:pPr>
        <w:jc w:val="both"/>
      </w:pPr>
      <w:r>
        <w:drawing>
          <wp:inline distT="0" distB="0" distL="0" distR="0">
            <wp:extent cx="5760720" cy="19919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92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37312">
      <w:pPr>
        <w:jc w:val="both"/>
      </w:pPr>
      <w:r>
        <w:t>Figure 3. +1pp Bank Rate scenario: model-implied HPI delta, scenario minus baseline.</w:t>
      </w:r>
    </w:p>
    <w:p w14:paraId="00F2472B">
      <w:pPr>
        <w:jc w:val="both"/>
      </w:pPr>
      <w:r>
        <w:t>The linear-regression line is nearly flat because the same +1pp shock is applied to the same lagged features in every row and the model uses fixed coefficients. The Random Forest allows more nonlinear variation across months.</w:t>
      </w:r>
    </w:p>
    <w:p w14:paraId="69A0F6FD">
      <w:pPr>
        <w:jc w:val="both"/>
      </w:pPr>
      <w:r>
        <w:drawing>
          <wp:inline distT="0" distB="0" distL="0" distR="0">
            <wp:extent cx="5760720" cy="28276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034DB">
      <w:pPr>
        <w:jc w:val="both"/>
      </w:pPr>
      <w:r>
        <w:t>Figure 4. Stylised distributional burden across income deciles.</w:t>
      </w:r>
    </w:p>
    <w:p w14:paraId="57689EE8">
      <w:pPr>
        <w:jc w:val="both"/>
      </w:pPr>
      <w:r>
        <w:t>The distributional burden chart applies the same annual mortgage-cost benchmark across deciles. It illustrates regressivity, not the exact payment change faced by every household. Tenure, debt size, fixed-rate status, and landlord pass-through all vary in reality.</w:t>
      </w:r>
    </w:p>
    <w:p w14:paraId="63A512F4">
      <w:pPr>
        <w:jc w:val="both"/>
      </w:pPr>
      <w:r>
        <w:t>Policy recommendation: targeted rent subsidy for renters in income deciles 1-3 is preferred over broad rent controls. The recommendation is strong but conditional: subsidy incidence and fiscal cost are real risks, and supply-side reform is needed to reduce long-run affordability pressure.</w:t>
      </w:r>
    </w:p>
    <w:p w14:paraId="4ED51154">
      <w:pPr>
        <w:pStyle w:val="2"/>
        <w:jc w:val="both"/>
      </w:pPr>
      <w:r>
        <w:t>8. Limitations</w:t>
      </w:r>
    </w:p>
    <w:p w14:paraId="5F069290">
      <w:pPr>
        <w:pStyle w:val="23"/>
        <w:jc w:val="both"/>
      </w:pPr>
      <w:r>
        <w:t xml:space="preserve">Negative holdout </w:t>
      </w:r>
      <m:oMath>
        <m:sSup>
          <m:sSupPr>
            <m:ctrlPr>
              <w:rPr>
                <w:rFonts w:ascii="Cambria Math" w:hAnsi="Cambria Math"/>
                <w:i/>
                <w:lang w:eastAsia="zh-CN"/>
              </w:rPr>
            </m:ctrlPr>
          </m:sSupPr>
          <m:e>
            <m:r>
              <m:rPr/>
              <w:rPr>
                <w:rFonts w:hint="eastAsia" w:ascii="Cambria Math" w:hAnsi="Cambria Math"/>
                <w:lang w:eastAsia="zh-CN"/>
              </w:rPr>
              <m:t>R</m:t>
            </m:r>
            <m:ctrlPr>
              <w:rPr>
                <w:rFonts w:hint="eastAsia" w:ascii="Cambria Math" w:hAnsi="Cambria Math"/>
                <w:i/>
                <w:lang w:eastAsia="zh-CN"/>
              </w:rPr>
            </m:ctrlPr>
          </m:e>
          <m:sup>
            <m:r>
              <m:rPr/>
              <w:rPr>
                <w:rFonts w:ascii="Cambria Math" w:hAnsi="Cambria Math"/>
                <w:lang w:eastAsia="zh-CN"/>
              </w:rPr>
              <m:t>2</m:t>
            </m:r>
            <m:ctrlPr>
              <w:rPr>
                <w:rFonts w:ascii="Cambria Math" w:hAnsi="Cambria Math"/>
                <w:i/>
                <w:lang w:eastAsia="zh-CN"/>
              </w:rPr>
            </m:ctrlPr>
          </m:sup>
        </m:sSup>
      </m:oMath>
      <w:r>
        <w:t xml:space="preserve"> means the Day 4/5 models are not reliable forecasting tools.</w:t>
      </w:r>
    </w:p>
    <w:p w14:paraId="1A31905B">
      <w:pPr>
        <w:pStyle w:val="23"/>
        <w:jc w:val="both"/>
      </w:pPr>
      <w:r>
        <w:t>The 56-row model-ready window covers one unusual tightening cycle, limiting generalisability.</w:t>
      </w:r>
    </w:p>
    <w:p w14:paraId="7A7BB810">
      <w:pPr>
        <w:pStyle w:val="23"/>
        <w:jc w:val="both"/>
      </w:pPr>
      <w:r>
        <w:t>Annual income data limits month-level distributional analysis.</w:t>
      </w:r>
    </w:p>
    <w:p w14:paraId="7751492D">
      <w:pPr>
        <w:pStyle w:val="23"/>
        <w:jc w:val="both"/>
      </w:pPr>
      <w:r>
        <w:t>The modelling target is HPI, not a rent-specific price index, even though renters are central to the policy concern.</w:t>
      </w:r>
    </w:p>
    <w:p w14:paraId="04713DDC">
      <w:pPr>
        <w:pStyle w:val="23"/>
        <w:jc w:val="both"/>
      </w:pPr>
      <w:r>
        <w:t>No causal identification strategy is used; coefficients and scenario outputs are associations.</w:t>
      </w:r>
    </w:p>
    <w:p w14:paraId="075ED3CD">
      <w:pPr>
        <w:pStyle w:val="23"/>
        <w:jc w:val="both"/>
      </w:pPr>
      <w:r>
        <w:t>BBC sentiment is qualitative media context, not economic measurement or welfare evidence.</w:t>
      </w:r>
    </w:p>
    <w:p w14:paraId="5BF01FC2">
      <w:pPr>
        <w:pStyle w:val="23"/>
        <w:jc w:val="both"/>
      </w:pPr>
      <w:r>
        <w:t>CPIH is applied uniformly across deciles, which may understate real pressure on lower-income households.</w:t>
      </w:r>
    </w:p>
    <w:p w14:paraId="25FF4FD6">
      <w:pPr>
        <w:pStyle w:val="2"/>
        <w:jc w:val="both"/>
      </w:pPr>
      <w:r>
        <w:t>9. Conclusion</w:t>
      </w:r>
    </w:p>
    <w:p w14:paraId="7E2EA1B0">
      <w:pPr>
        <w:jc w:val="both"/>
        <w:rPr>
          <w:lang w:eastAsia="zh-CN"/>
        </w:rPr>
      </w:pPr>
      <w:r>
        <w:t>The project is strongest as a coherent, reproducible account of distributional pressure during the UK cost-of-living shock. H1 is supported descriptively: real-income erosion is visible across deciles, and the evidence suggests stronger pressure on lower-income households, although decile-specific inflation exposure is approximated rather than directly observed</w:t>
      </w:r>
      <w:r>
        <w:rPr>
          <w:rFonts w:hint="eastAsia"/>
          <w:lang w:eastAsia="zh-CN"/>
        </w:rPr>
        <w:t xml:space="preserve">. </w:t>
      </w:r>
      <w:r>
        <w:t xml:space="preserve">H2 is supported by the stylised burden calculation: the same £2,013 annual housing-cost shock absorbs about 18.8% of Decile 1 income but only 1.9% of Decile 10 income, showing a strongly regressive burden structure.  H3 is only partially supported descriptively: lagged macro variables contain some in-sample association with the House Price Index, but the negative holdout R² means they do not deliver reliable short-run forecasting performance in this setup.  </w:t>
      </w:r>
      <w:r>
        <w:rPr>
          <w:rFonts w:hint="eastAsia"/>
          <w:lang w:eastAsia="zh-CN"/>
        </w:rPr>
        <w:t xml:space="preserve"> </w:t>
      </w:r>
    </w:p>
    <w:p w14:paraId="66EE0504">
      <w:pPr>
        <w:jc w:val="both"/>
      </w:pPr>
      <w:r>
        <w:t>The final policy message is disciplined: support should be targeted toward households most exposed to the income-housing gap, especially lower-income renters, while acknowledging that stronger evidence would require rent-specific data, regional analysis, household microdata, and causal research designs.</w:t>
      </w:r>
    </w:p>
    <w:p w14:paraId="5443682F">
      <w:pPr>
        <w:pStyle w:val="2"/>
        <w:jc w:val="both"/>
      </w:pPr>
      <w:r>
        <w:t>10. References and Source Notes</w:t>
      </w:r>
    </w:p>
    <w:p w14:paraId="3900A4F9">
      <w:pPr>
        <w:pStyle w:val="23"/>
        <w:jc w:val="both"/>
      </w:pPr>
      <w:r>
        <w:t>ONS Consumer Price Inflation / MM23: CPIH inflation rate.</w:t>
      </w:r>
    </w:p>
    <w:p w14:paraId="68C5AC63">
      <w:pPr>
        <w:pStyle w:val="23"/>
        <w:jc w:val="both"/>
      </w:pPr>
      <w:r>
        <w:t>GOV.UK UK House Price Index: monthly UK HPI, published from official UK house price sources.</w:t>
      </w:r>
    </w:p>
    <w:p w14:paraId="02733A32">
      <w:pPr>
        <w:pStyle w:val="23"/>
        <w:jc w:val="both"/>
      </w:pPr>
      <w:r>
        <w:t>Bank of England: official Bank Rate time series.</w:t>
      </w:r>
    </w:p>
    <w:p w14:paraId="198C36AE">
      <w:pPr>
        <w:pStyle w:val="23"/>
        <w:jc w:val="both"/>
      </w:pPr>
      <w:r>
        <w:t>ONS Labour Market Statistics: unemployment rate.</w:t>
      </w:r>
    </w:p>
    <w:p w14:paraId="331A72A0">
      <w:pPr>
        <w:pStyle w:val="23"/>
        <w:jc w:val="both"/>
      </w:pPr>
      <w:r>
        <w:t>ONS Effects of Taxes and Benefits: annual income by decile.</w:t>
      </w:r>
    </w:p>
    <w:p w14:paraId="18AC448F">
      <w:pPr>
        <w:pStyle w:val="23"/>
        <w:jc w:val="both"/>
      </w:pPr>
      <w:r>
        <w:t>BBC News headlines: qualitative text context scored with VADER sentiment.</w:t>
      </w:r>
    </w:p>
    <w:p w14:paraId="23CEF306">
      <w:pPr>
        <w:pStyle w:val="23"/>
        <w:jc w:val="both"/>
      </w:pPr>
      <w:r>
        <w:t>Full extraction, cleaning, and frequency decisions are documented in docs/day2_data_log.md.</w:t>
      </w:r>
    </w:p>
    <w:p w14:paraId="554DF52F">
      <w:pPr>
        <w:pStyle w:val="2"/>
        <w:jc w:val="both"/>
      </w:pPr>
      <w:r>
        <w:t>11. Reproducibility and Final Package</w:t>
      </w:r>
    </w:p>
    <w:p w14:paraId="2AC3FB45">
      <w:pPr>
        <w:jc w:val="both"/>
      </w:pPr>
      <w:r>
        <w:t xml:space="preserve">The final package includes README.md, requirements.txt, notebooks for Days 2-6, scripts in src/, outputs/day7_key_messages.txt, outputs/day7_submission_checklist.txt, and the presentation-ready outputs/day7_asset_pack/ folder. To rebuild the analytical pipeline, run python run_all.py from the project root. 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ourier">
    <w:altName w:val="苹方-简"/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Cambria Math">
    <w:altName w:val="Kingsoft Math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419F3"/>
    <w:rsid w:val="0029639D"/>
    <w:rsid w:val="00326F90"/>
    <w:rsid w:val="0073300A"/>
    <w:rsid w:val="00AA1D8D"/>
    <w:rsid w:val="00B47730"/>
    <w:rsid w:val="00C34371"/>
    <w:rsid w:val="00CB0664"/>
    <w:rsid w:val="00FC693F"/>
    <w:rsid w:val="FF6D4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  <w:style w:type="character" w:styleId="164">
    <w:name w:val="Placeholder Text"/>
    <w:basedOn w:val="11"/>
    <w:semiHidden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1408</Words>
  <Characters>8027</Characters>
  <Lines>66</Lines>
  <Paragraphs>18</Paragraphs>
  <TotalTime>4</TotalTime>
  <ScaleCrop>false</ScaleCrop>
  <LinksUpToDate>false</LinksUpToDate>
  <CharactersWithSpaces>9417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2013-12-24T00:15:00Z</dcterms:created>
  <dc:creator>python-docx</dc:creator>
  <dc:description>generated by python-docx</dc:description>
  <cp:lastModifiedBy>Diana Zhu</cp:lastModifiedBy>
  <dcterms:modified xsi:type="dcterms:W3CDTF">2026-04-21T18:48:23Z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0CB3D72F51FBA7CD67B8E7698F9D1B15_42</vt:lpwstr>
  </property>
</Properties>
</file>