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C10" w:rsidRDefault="002A6A92" w:rsidP="002A6A92">
      <w:pPr>
        <w:pStyle w:val="Heading1"/>
        <w:rPr>
          <w:u w:val="single"/>
        </w:rPr>
      </w:pPr>
      <w:r w:rsidRPr="002A6A92">
        <w:rPr>
          <w:u w:val="single"/>
        </w:rPr>
        <w:t>Quantum States in Key Distribution</w:t>
      </w:r>
    </w:p>
    <w:p w:rsidR="002A6A92" w:rsidRDefault="002A6A92" w:rsidP="002A6A92">
      <w:r>
        <w:t xml:space="preserve">Unlike the traditional encoding of messages in 0s and 1s, quantum states encode messages in units of </w:t>
      </w:r>
      <w:r>
        <w:rPr>
          <w:i/>
          <w:iCs/>
          <w:u w:val="single"/>
        </w:rPr>
        <w:t>Qubits</w:t>
      </w:r>
      <w:r>
        <w:t xml:space="preserve"> which are a binary and can also be a superposition of both the units. E.g. Spin of electron (-1/2 or +1/2), polarisation of light (left-polarised or right-polarised).</w:t>
      </w:r>
    </w:p>
    <w:p w:rsidR="002A6A92" w:rsidRDefault="002A6A92" w:rsidP="002A6A92">
      <w:pPr>
        <w:pStyle w:val="Heading1"/>
      </w:pPr>
      <w:r>
        <w:rPr>
          <w:u w:val="single"/>
        </w:rPr>
        <w:t>Drawbacks and Advantages associated</w:t>
      </w:r>
      <w:r>
        <w:t>:</w:t>
      </w:r>
    </w:p>
    <w:p w:rsidR="002A6A92" w:rsidRDefault="002A6A92" w:rsidP="002A6A92">
      <w:r>
        <w:t>Associated drawbacks:</w:t>
      </w:r>
    </w:p>
    <w:p w:rsidR="002A6A92" w:rsidRDefault="002A6A92" w:rsidP="002A6A92">
      <w:pPr>
        <w:pStyle w:val="ListParagraph"/>
        <w:numPr>
          <w:ilvl w:val="0"/>
          <w:numId w:val="1"/>
        </w:numPr>
      </w:pPr>
      <w:r>
        <w:t>A</w:t>
      </w:r>
      <w:r w:rsidRPr="002A6A92">
        <w:t xml:space="preserve"> received unknown quantum state cannot be reliably identified</w:t>
      </w:r>
      <w:r>
        <w:t>.</w:t>
      </w:r>
    </w:p>
    <w:p w:rsidR="002A6A92" w:rsidRDefault="002A6A92" w:rsidP="002A6A92">
      <w:pPr>
        <w:pStyle w:val="ListParagraph"/>
        <w:numPr>
          <w:ilvl w:val="0"/>
          <w:numId w:val="1"/>
        </w:numPr>
      </w:pPr>
      <w:r>
        <w:t>A</w:t>
      </w:r>
      <w:r w:rsidRPr="002A6A92">
        <w:t>ttempt</w:t>
      </w:r>
      <w:r>
        <w:t>s</w:t>
      </w:r>
      <w:r w:rsidRPr="002A6A92">
        <w:t xml:space="preserve"> to read the message results in only partial information and is always accompanied by corruption of the </w:t>
      </w:r>
      <w:r>
        <w:t>s</w:t>
      </w:r>
      <w:r w:rsidRPr="002A6A92">
        <w:t>tate and part of the sent message is necessarily irretrievably destroyed.</w:t>
      </w:r>
    </w:p>
    <w:p w:rsidR="002A6A92" w:rsidRDefault="002A6A92" w:rsidP="002A6A92">
      <w:r>
        <w:t>Advantages:</w:t>
      </w:r>
    </w:p>
    <w:p w:rsidR="002A6A92" w:rsidRDefault="002A6A92" w:rsidP="002A6A92">
      <w:pPr>
        <w:pStyle w:val="ListParagraph"/>
        <w:numPr>
          <w:ilvl w:val="0"/>
          <w:numId w:val="2"/>
        </w:numPr>
      </w:pPr>
      <w:r>
        <w:t xml:space="preserve">Attempted eavesdropping can be </w:t>
      </w:r>
      <w:r w:rsidR="004813E1">
        <w:t>will leave a mark, and in theory, be detected by a public discussion between sender and receiver.</w:t>
      </w:r>
    </w:p>
    <w:p w:rsidR="004813E1" w:rsidRDefault="004813E1" w:rsidP="004813E1">
      <w:pPr>
        <w:pStyle w:val="Heading1"/>
        <w:jc w:val="both"/>
      </w:pPr>
      <w:r w:rsidRPr="004813E1">
        <w:rPr>
          <w:u w:val="single"/>
        </w:rPr>
        <w:t>QKD using BB84 protocol</w:t>
      </w:r>
    </w:p>
    <w:p w:rsidR="004813E1" w:rsidRDefault="004813E1" w:rsidP="004813E1">
      <w:r>
        <w:t>The message is encrypted using traditional means and distributed over a public channel, while the key is generated and distributed over a quantum channel.</w:t>
      </w:r>
    </w:p>
    <w:p w:rsidR="00B04B0D" w:rsidRDefault="00B04B0D" w:rsidP="004813E1">
      <w:r>
        <w:t>Step 1:</w:t>
      </w:r>
      <w:r>
        <w:tab/>
        <w:t xml:space="preserve">Node 1 (Sender) generates two uniform binary strings </w:t>
      </w:r>
      <w:r>
        <w:rPr>
          <w:b/>
          <w:bCs/>
        </w:rPr>
        <w:t xml:space="preserve">x </w:t>
      </w:r>
      <w:r>
        <w:t>= x</w:t>
      </w:r>
      <w:r>
        <w:rPr>
          <w:vertAlign w:val="subscript"/>
        </w:rPr>
        <w:t xml:space="preserve">1 </w:t>
      </w:r>
      <w:r>
        <w:t>x</w:t>
      </w:r>
      <w:r>
        <w:rPr>
          <w:vertAlign w:val="subscript"/>
        </w:rPr>
        <w:t>2</w:t>
      </w:r>
      <w:r>
        <w:t xml:space="preserve"> …</w:t>
      </w:r>
      <w:r>
        <w:rPr>
          <w:vertAlign w:val="subscript"/>
        </w:rPr>
        <w:t xml:space="preserve">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and </w:t>
      </w:r>
      <w:r>
        <w:rPr>
          <w:b/>
          <w:bCs/>
        </w:rPr>
        <w:t>y</w:t>
      </w:r>
      <w:r>
        <w:t xml:space="preserve"> = y</w:t>
      </w:r>
      <w:r>
        <w:rPr>
          <w:vertAlign w:val="subscript"/>
        </w:rPr>
        <w:t>1</w:t>
      </w:r>
      <w:r>
        <w:t xml:space="preserve"> y</w:t>
      </w:r>
      <w:r>
        <w:rPr>
          <w:vertAlign w:val="subscript"/>
        </w:rPr>
        <w:t>2</w:t>
      </w:r>
      <w:r>
        <w:t xml:space="preserve"> … </w:t>
      </w:r>
      <w:proofErr w:type="spellStart"/>
      <w:r>
        <w:t>y</w:t>
      </w:r>
      <w:r>
        <w:rPr>
          <w:vertAlign w:val="subscript"/>
        </w:rPr>
        <w:t>m</w:t>
      </w:r>
      <w:proofErr w:type="spellEnd"/>
      <w:r>
        <w:t>, and</w:t>
      </w:r>
      <w:r>
        <w:tab/>
        <w:t>then prepares the qubit states (quantum encoding), which are then sent to Node 2</w:t>
      </w:r>
      <w:r>
        <w:tab/>
      </w:r>
      <w:r>
        <w:tab/>
        <w:t>(Receiver) over a quantum channel.</w:t>
      </w:r>
    </w:p>
    <w:p w:rsidR="00B04B0D" w:rsidRDefault="00B04B0D" w:rsidP="004813E1">
      <w:r>
        <w:t>Step 2: Receiver (Node 2) receives these qubits which may not be the same (due to noise or</w:t>
      </w:r>
      <w:r>
        <w:tab/>
      </w:r>
      <w:r>
        <w:tab/>
        <w:t xml:space="preserve">eavesdropping). Receiver then choose a random </w:t>
      </w:r>
      <w:r>
        <w:rPr>
          <w:b/>
          <w:bCs/>
        </w:rPr>
        <w:t>y</w:t>
      </w:r>
      <w:r>
        <w:rPr>
          <w:b/>
          <w:bCs/>
          <w:vertAlign w:val="superscript"/>
        </w:rPr>
        <w:t>’</w:t>
      </w:r>
      <w:r>
        <w:t xml:space="preserve"> =</w:t>
      </w:r>
      <w:r>
        <w:t xml:space="preserve"> y</w:t>
      </w:r>
      <w:r>
        <w:rPr>
          <w:vertAlign w:val="superscript"/>
        </w:rPr>
        <w:t>’</w:t>
      </w:r>
      <w:r>
        <w:rPr>
          <w:vertAlign w:val="subscript"/>
        </w:rPr>
        <w:t>1</w:t>
      </w:r>
      <w:r>
        <w:t xml:space="preserve"> </w:t>
      </w:r>
      <w:r>
        <w:t>y</w:t>
      </w:r>
      <w:r>
        <w:rPr>
          <w:vertAlign w:val="superscript"/>
        </w:rPr>
        <w:t>’</w:t>
      </w:r>
      <w:r>
        <w:rPr>
          <w:vertAlign w:val="subscript"/>
        </w:rPr>
        <w:t>2</w:t>
      </w:r>
      <w:r>
        <w:t xml:space="preserve"> … </w:t>
      </w:r>
      <w:proofErr w:type="spellStart"/>
      <w:r>
        <w:t>y</w:t>
      </w:r>
      <w:r>
        <w:rPr>
          <w:vertAlign w:val="superscript"/>
        </w:rPr>
        <w:t>’</w:t>
      </w:r>
      <w:r>
        <w:rPr>
          <w:vertAlign w:val="subscript"/>
        </w:rPr>
        <w:t>m</w:t>
      </w:r>
      <w:proofErr w:type="spellEnd"/>
      <w:r w:rsidR="00F30D65">
        <w:t>.</w:t>
      </w:r>
      <w:r>
        <w:rPr>
          <w:vertAlign w:val="subscript"/>
        </w:rPr>
        <w:t xml:space="preserve"> </w:t>
      </w:r>
      <w:r>
        <w:t xml:space="preserve">and measures his </w:t>
      </w:r>
      <w:r>
        <w:tab/>
      </w:r>
      <w:r>
        <w:tab/>
      </w:r>
      <w:r>
        <w:rPr>
          <w:b/>
          <w:bCs/>
        </w:rPr>
        <w:t>x</w:t>
      </w:r>
      <w:r>
        <w:rPr>
          <w:b/>
          <w:bCs/>
          <w:vertAlign w:val="superscript"/>
        </w:rPr>
        <w:t>’</w:t>
      </w:r>
      <w:r>
        <w:t xml:space="preserve"> = x</w:t>
      </w:r>
      <w:r>
        <w:rPr>
          <w:vertAlign w:val="superscript"/>
        </w:rPr>
        <w:t>’</w:t>
      </w:r>
      <w:r>
        <w:rPr>
          <w:vertAlign w:val="subscript"/>
        </w:rPr>
        <w:t>1</w:t>
      </w:r>
      <w:r>
        <w:t xml:space="preserve"> x</w:t>
      </w:r>
      <w:r>
        <w:rPr>
          <w:vertAlign w:val="superscript"/>
        </w:rPr>
        <w:t>’</w:t>
      </w:r>
      <w:r>
        <w:rPr>
          <w:vertAlign w:val="subscript"/>
        </w:rPr>
        <w:t>2</w:t>
      </w:r>
      <w:r>
        <w:t xml:space="preserve"> … </w:t>
      </w:r>
      <w:proofErr w:type="spellStart"/>
      <w:r>
        <w:t>x</w:t>
      </w:r>
      <w:r>
        <w:rPr>
          <w:vertAlign w:val="superscript"/>
        </w:rPr>
        <w:t>’</w:t>
      </w:r>
      <w:r>
        <w:rPr>
          <w:vertAlign w:val="subscript"/>
        </w:rPr>
        <w:t>m</w:t>
      </w:r>
      <w:proofErr w:type="spellEnd"/>
      <w:r>
        <w:t xml:space="preserve"> where x</w:t>
      </w:r>
      <w:r>
        <w:rPr>
          <w:vertAlign w:val="superscript"/>
        </w:rPr>
        <w:t>’</w:t>
      </w:r>
      <w:r>
        <w:rPr>
          <w:vertAlign w:val="subscript"/>
        </w:rPr>
        <w:t>i</w:t>
      </w:r>
      <w:r>
        <w:t xml:space="preserve"> = x</w:t>
      </w:r>
      <w:r>
        <w:rPr>
          <w:vertAlign w:val="subscript"/>
        </w:rPr>
        <w:t>i</w:t>
      </w:r>
      <w:r>
        <w:t xml:space="preserve"> if </w:t>
      </w:r>
      <w:proofErr w:type="spellStart"/>
      <w:r>
        <w:t>y</w:t>
      </w:r>
      <w:r>
        <w:rPr>
          <w:vertAlign w:val="superscript"/>
        </w:rPr>
        <w:t>’</w:t>
      </w:r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.</w:t>
      </w:r>
    </w:p>
    <w:p w:rsidR="00F30D65" w:rsidRDefault="00F30D65" w:rsidP="00F30D65">
      <w:r>
        <w:t>Step 3: Sender and Receiver publicly share their bases (</w:t>
      </w:r>
      <w:r>
        <w:rPr>
          <w:b/>
          <w:bCs/>
        </w:rPr>
        <w:t>y</w:t>
      </w:r>
      <w:r>
        <w:t xml:space="preserve"> and </w:t>
      </w:r>
      <w:r>
        <w:rPr>
          <w:b/>
          <w:bCs/>
        </w:rPr>
        <w:t>y</w:t>
      </w:r>
      <w:r>
        <w:rPr>
          <w:b/>
          <w:bCs/>
          <w:vertAlign w:val="superscript"/>
        </w:rPr>
        <w:t>’</w:t>
      </w:r>
      <w:r>
        <w:t>).</w:t>
      </w:r>
      <w:r>
        <w:tab/>
        <w:t>They discard all the bits, x</w:t>
      </w:r>
      <w:r>
        <w:rPr>
          <w:vertAlign w:val="subscript"/>
        </w:rPr>
        <w:t xml:space="preserve">i </w:t>
      </w:r>
      <w:r>
        <w:t>s and x</w:t>
      </w:r>
      <w:r>
        <w:rPr>
          <w:vertAlign w:val="superscript"/>
        </w:rPr>
        <w:t>’</w:t>
      </w:r>
      <w:r>
        <w:rPr>
          <w:vertAlign w:val="subscript"/>
        </w:rPr>
        <w:t>i</w:t>
      </w:r>
      <w:r>
        <w:tab/>
        <w:t>correspondingly, where the bases do not match. The strings that remain (</w:t>
      </w:r>
      <w:r>
        <w:rPr>
          <w:b/>
          <w:bCs/>
        </w:rPr>
        <w:t>~x</w:t>
      </w:r>
      <w:r>
        <w:t xml:space="preserve"> and </w:t>
      </w:r>
      <w:r>
        <w:rPr>
          <w:b/>
          <w:bCs/>
        </w:rPr>
        <w:t>~x</w:t>
      </w:r>
      <w:r>
        <w:rPr>
          <w:b/>
          <w:bCs/>
          <w:vertAlign w:val="superscript"/>
        </w:rPr>
        <w:t>’</w:t>
      </w:r>
      <w:r>
        <w:t>) are a</w:t>
      </w:r>
      <w:r>
        <w:tab/>
        <w:t>choice of key to be used if there was not corruption.</w:t>
      </w:r>
    </w:p>
    <w:p w:rsidR="009B66B9" w:rsidRDefault="00F30D65" w:rsidP="004813E1">
      <w:r>
        <w:t xml:space="preserve">Step 4: Sender and Receiver calculate the </w:t>
      </w:r>
      <w:r>
        <w:rPr>
          <w:i/>
          <w:iCs/>
        </w:rPr>
        <w:t>bit error rate</w:t>
      </w:r>
      <w:r>
        <w:t xml:space="preserve"> (BER) by sharing a sample of</w:t>
      </w:r>
      <w:r w:rsidR="009B66B9">
        <w:t xml:space="preserve"> </w:t>
      </w:r>
      <w:r w:rsidR="009B66B9">
        <w:rPr>
          <w:b/>
          <w:bCs/>
        </w:rPr>
        <w:t>~x</w:t>
      </w:r>
      <w:r w:rsidR="009B66B9">
        <w:t xml:space="preserve"> and </w:t>
      </w:r>
      <w:r w:rsidR="009B66B9">
        <w:rPr>
          <w:b/>
          <w:bCs/>
        </w:rPr>
        <w:t>~x</w:t>
      </w:r>
      <w:r w:rsidR="009B66B9">
        <w:rPr>
          <w:b/>
          <w:bCs/>
          <w:vertAlign w:val="superscript"/>
        </w:rPr>
        <w:t>’</w:t>
      </w:r>
      <w:r w:rsidR="009B66B9">
        <w:rPr>
          <w:b/>
          <w:bCs/>
          <w:vertAlign w:val="superscript"/>
        </w:rPr>
        <w:t xml:space="preserve"> </w:t>
      </w:r>
      <w:r w:rsidR="009B66B9">
        <w:t xml:space="preserve"> with </w:t>
      </w:r>
      <w:r w:rsidR="009B66B9">
        <w:tab/>
        <w:t>each other, and assume that BER of this sample is the same as BER of the remaining string.</w:t>
      </w:r>
      <w:r w:rsidR="009B66B9">
        <w:tab/>
        <w:t>This information can be used to correct the remaining errors in the string to a reasonably</w:t>
      </w:r>
      <w:r w:rsidR="009B66B9">
        <w:tab/>
      </w:r>
      <w:r w:rsidR="009B66B9">
        <w:tab/>
        <w:t>high accuracy at the expense of sacrificing a further portion of the string.</w:t>
      </w:r>
    </w:p>
    <w:p w:rsidR="009B66B9" w:rsidRDefault="009B66B9" w:rsidP="009B66B9">
      <w:pPr>
        <w:pStyle w:val="Heading1"/>
      </w:pPr>
      <w:r w:rsidRPr="009B66B9">
        <w:rPr>
          <w:u w:val="single"/>
        </w:rPr>
        <w:t>Quantum Networks</w:t>
      </w:r>
      <w:r>
        <w:t xml:space="preserve"> </w:t>
      </w:r>
    </w:p>
    <w:p w:rsidR="009B66B9" w:rsidRDefault="009B66B9" w:rsidP="009B66B9">
      <w:pPr>
        <w:pStyle w:val="ListParagraph"/>
        <w:numPr>
          <w:ilvl w:val="0"/>
          <w:numId w:val="3"/>
        </w:numPr>
      </w:pPr>
      <w:r>
        <w:t>Quantum signals are intrinsically weak as they depend on photons (light), not electricity and therefore cannot be amplified.</w:t>
      </w:r>
    </w:p>
    <w:p w:rsidR="009B66B9" w:rsidRDefault="009B66B9" w:rsidP="009B66B9">
      <w:pPr>
        <w:pStyle w:val="ListParagraph"/>
        <w:numPr>
          <w:ilvl w:val="0"/>
          <w:numId w:val="3"/>
        </w:numPr>
      </w:pPr>
      <w:r>
        <w:t>Furthermore, the signal-sending and receiving ends must be in line-of-sight reasonably.</w:t>
      </w:r>
    </w:p>
    <w:p w:rsidR="009B66B9" w:rsidRDefault="009B66B9" w:rsidP="009B66B9">
      <w:pPr>
        <w:pStyle w:val="ListParagraph"/>
        <w:numPr>
          <w:ilvl w:val="0"/>
          <w:numId w:val="3"/>
        </w:numPr>
      </w:pPr>
      <w:r>
        <w:t xml:space="preserve">Quantum signals </w:t>
      </w:r>
      <w:r w:rsidR="001F0019">
        <w:t xml:space="preserve">loss is exponential in </w:t>
      </w:r>
      <w:proofErr w:type="spellStart"/>
      <w:r w:rsidR="001F0019">
        <w:t>fib</w:t>
      </w:r>
      <w:r w:rsidR="00A977D1">
        <w:t>er</w:t>
      </w:r>
      <w:proofErr w:type="spellEnd"/>
      <w:r w:rsidR="001F0019">
        <w:t xml:space="preserve"> with distance, but follow square-law in space; thus, providing promise when discussing </w:t>
      </w:r>
      <w:r w:rsidR="002D59A8">
        <w:t>networking between satellites</w:t>
      </w:r>
      <w:r w:rsidR="001F0019">
        <w:t>.</w:t>
      </w:r>
    </w:p>
    <w:p w:rsidR="001F0019" w:rsidRDefault="001F0019" w:rsidP="009B66B9">
      <w:pPr>
        <w:pStyle w:val="ListParagraph"/>
        <w:numPr>
          <w:ilvl w:val="0"/>
          <w:numId w:val="3"/>
        </w:numPr>
      </w:pPr>
      <w:r>
        <w:t>Free-space links provided by satellites are affected by atmospheric phenomenon.</w:t>
      </w:r>
    </w:p>
    <w:p w:rsidR="002D59A8" w:rsidRDefault="002D59A8" w:rsidP="009B66B9">
      <w:pPr>
        <w:pStyle w:val="ListParagraph"/>
        <w:numPr>
          <w:ilvl w:val="0"/>
          <w:numId w:val="3"/>
        </w:numPr>
      </w:pPr>
      <w:r>
        <w:t>Quantum repeaters are an active area of research and will not mature in the near future.</w:t>
      </w:r>
    </w:p>
    <w:p w:rsidR="006E1FC7" w:rsidRDefault="006E1FC7" w:rsidP="009B66B9">
      <w:pPr>
        <w:pStyle w:val="ListParagraph"/>
        <w:numPr>
          <w:ilvl w:val="0"/>
          <w:numId w:val="3"/>
        </w:numPr>
      </w:pPr>
      <w:r>
        <w:t>The coverage of the satellite-based quantum networks is dependent on the orbit of the satellite, with higher orbiting ones giving a greater coverage.</w:t>
      </w:r>
    </w:p>
    <w:p w:rsidR="006E1FC7" w:rsidRDefault="006E1FC7" w:rsidP="009B66B9">
      <w:pPr>
        <w:pStyle w:val="ListParagraph"/>
        <w:numPr>
          <w:ilvl w:val="0"/>
          <w:numId w:val="3"/>
        </w:numPr>
      </w:pPr>
      <w:r>
        <w:lastRenderedPageBreak/>
        <w:t>In a general sense, rather than actually communication using quantum networks, the keys can be generated and exchanged using quantum networks, and the communication using traditional channels.</w:t>
      </w:r>
    </w:p>
    <w:p w:rsidR="006E1FC7" w:rsidRDefault="006E1FC7" w:rsidP="009B66B9">
      <w:pPr>
        <w:pStyle w:val="ListParagraph"/>
        <w:numPr>
          <w:ilvl w:val="0"/>
          <w:numId w:val="3"/>
        </w:numPr>
      </w:pPr>
      <w:r>
        <w:t>The below diagram provides a framework of a quantum network, wherein the quantum channel between Satellite and QGS is used for the key operation, while classical channel is used for communication.</w:t>
      </w:r>
    </w:p>
    <w:p w:rsidR="00A977D1" w:rsidRDefault="00A977D1" w:rsidP="009B66B9">
      <w:pPr>
        <w:pStyle w:val="ListParagraph"/>
        <w:numPr>
          <w:ilvl w:val="0"/>
          <w:numId w:val="3"/>
        </w:numPr>
      </w:pPr>
      <w:r>
        <w:t>Special hardware is required in the sending and receiving nodes, i.e., quantum processors (QPUs).</w:t>
      </w:r>
    </w:p>
    <w:p w:rsidR="00A977D1" w:rsidRDefault="00A977D1" w:rsidP="009B66B9">
      <w:pPr>
        <w:pStyle w:val="ListParagraph"/>
        <w:numPr>
          <w:ilvl w:val="0"/>
          <w:numId w:val="3"/>
        </w:numPr>
      </w:pPr>
      <w:r>
        <w:t xml:space="preserve">The communication occurs using optical networks (photon-based), through </w:t>
      </w:r>
      <w:proofErr w:type="spellStart"/>
      <w:r w:rsidR="00762522">
        <w:t>fiber</w:t>
      </w:r>
      <w:proofErr w:type="spellEnd"/>
      <w:r w:rsidR="00762522">
        <w:t>, or</w:t>
      </w:r>
      <w:r>
        <w:t xml:space="preserve"> free-space (as in atmosphere and space; relevant for satellites).</w:t>
      </w:r>
    </w:p>
    <w:p w:rsidR="00F9546A" w:rsidRDefault="00F9546A" w:rsidP="00F9546A">
      <w:pPr>
        <w:pStyle w:val="Heading1"/>
      </w:pPr>
      <w:r w:rsidRPr="00F9546A">
        <w:rPr>
          <w:u w:val="single"/>
        </w:rPr>
        <w:t>Functional diagram of an integrated quantum information network with Space segment</w:t>
      </w:r>
      <w:r>
        <w:t>:</w:t>
      </w:r>
    </w:p>
    <w:p w:rsidR="00F9546A" w:rsidRPr="00F9546A" w:rsidRDefault="00F9546A" w:rsidP="00F9546A">
      <w:r>
        <w:rPr>
          <w:noProof/>
        </w:rPr>
        <w:drawing>
          <wp:inline distT="0" distB="0" distL="0" distR="0">
            <wp:extent cx="5731510" cy="4083685"/>
            <wp:effectExtent l="0" t="0" r="2540" b="0"/>
            <wp:docPr id="64229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2073" name="Picture 6422920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E8" w:rsidRDefault="002D13E8" w:rsidP="002D13E8">
      <w:pPr>
        <w:pStyle w:val="Heading1"/>
      </w:pPr>
      <w:r w:rsidRPr="002D13E8">
        <w:rPr>
          <w:u w:val="single"/>
        </w:rPr>
        <w:t>Associated links and papers</w:t>
      </w:r>
      <w:r>
        <w:t>:</w:t>
      </w:r>
    </w:p>
    <w:p w:rsidR="002D13E8" w:rsidRDefault="002D59A8" w:rsidP="002D13E8">
      <w:pPr>
        <w:pStyle w:val="ListParagraph"/>
        <w:numPr>
          <w:ilvl w:val="0"/>
          <w:numId w:val="5"/>
        </w:numPr>
      </w:pPr>
      <w:r w:rsidRPr="002D59A8">
        <w:t xml:space="preserve">de Forges de </w:t>
      </w:r>
      <w:proofErr w:type="spellStart"/>
      <w:r w:rsidRPr="002D59A8">
        <w:t>Parny</w:t>
      </w:r>
      <w:proofErr w:type="spellEnd"/>
      <w:r w:rsidRPr="002D59A8">
        <w:t xml:space="preserve">, L., </w:t>
      </w:r>
      <w:proofErr w:type="spellStart"/>
      <w:r w:rsidRPr="002D59A8">
        <w:t>Alibart</w:t>
      </w:r>
      <w:proofErr w:type="spellEnd"/>
      <w:r w:rsidRPr="002D59A8">
        <w:t xml:space="preserve">, O., </w:t>
      </w:r>
      <w:proofErr w:type="spellStart"/>
      <w:r w:rsidRPr="002D59A8">
        <w:t>Debaud</w:t>
      </w:r>
      <w:proofErr w:type="spellEnd"/>
      <w:r w:rsidRPr="002D59A8">
        <w:t>, J. </w:t>
      </w:r>
      <w:r w:rsidRPr="002D59A8">
        <w:rPr>
          <w:i/>
          <w:iCs/>
        </w:rPr>
        <w:t>et al.</w:t>
      </w:r>
      <w:r w:rsidRPr="002D59A8">
        <w:t> Satellite-based quantum information networks: use cases, architecture, and roadmap. </w:t>
      </w:r>
      <w:r w:rsidRPr="002D59A8">
        <w:rPr>
          <w:i/>
          <w:iCs/>
        </w:rPr>
        <w:t>Commun Phys</w:t>
      </w:r>
      <w:r w:rsidRPr="002D59A8">
        <w:t> </w:t>
      </w:r>
      <w:r w:rsidRPr="002D59A8">
        <w:rPr>
          <w:b/>
          <w:bCs/>
        </w:rPr>
        <w:t>6</w:t>
      </w:r>
      <w:r w:rsidRPr="002D59A8">
        <w:t xml:space="preserve">, 12 (2023). </w:t>
      </w:r>
      <w:hyperlink r:id="rId7" w:history="1">
        <w:r w:rsidRPr="002D59A8">
          <w:rPr>
            <w:rStyle w:val="Hyperlink"/>
          </w:rPr>
          <w:t>https://doi.org/10.1038/s42005-022-01123-7</w:t>
        </w:r>
      </w:hyperlink>
    </w:p>
    <w:p w:rsidR="006A452F" w:rsidRDefault="006A452F" w:rsidP="002D13E8">
      <w:pPr>
        <w:pStyle w:val="ListParagraph"/>
        <w:numPr>
          <w:ilvl w:val="0"/>
          <w:numId w:val="5"/>
        </w:numPr>
      </w:pPr>
      <w:r>
        <w:t xml:space="preserve">Article: </w:t>
      </w:r>
      <w:hyperlink r:id="rId8" w:history="1">
        <w:r w:rsidRPr="00445741">
          <w:rPr>
            <w:rStyle w:val="Hyperlink"/>
          </w:rPr>
          <w:t>https://physics.aps.org/articles/v15/172</w:t>
        </w:r>
      </w:hyperlink>
      <w:r w:rsidRPr="002D13E8">
        <w:t xml:space="preserve"> </w:t>
      </w:r>
    </w:p>
    <w:p w:rsidR="006A452F" w:rsidRDefault="006A452F" w:rsidP="002D13E8">
      <w:pPr>
        <w:pStyle w:val="ListParagraph"/>
        <w:numPr>
          <w:ilvl w:val="0"/>
          <w:numId w:val="5"/>
        </w:numPr>
      </w:pPr>
      <w:r w:rsidRPr="006A452F">
        <w:t>Liao SK, Cai WQ, Liu WY, Zhang L, Li Y, Ren JG, Yin J, Shen Q, Cao Y, Li ZP, Li FZ, Chen XW, Sun LH, Jia JJ, Wu JC</w:t>
      </w:r>
      <w:r>
        <w:t xml:space="preserve">. </w:t>
      </w:r>
      <w:r w:rsidRPr="006A452F">
        <w:t>Satellite-to-ground quantum key distribution. Nature. 2017 Sep 7</w:t>
      </w:r>
      <w:r w:rsidR="00D35941">
        <w:t>.</w:t>
      </w:r>
    </w:p>
    <w:p w:rsidR="006E1FC7" w:rsidRDefault="00D35941" w:rsidP="006E1FC7">
      <w:pPr>
        <w:pStyle w:val="ListParagraph"/>
      </w:pPr>
      <w:hyperlink r:id="rId9" w:history="1">
        <w:r w:rsidRPr="00D35941">
          <w:rPr>
            <w:rStyle w:val="Hyperlink"/>
          </w:rPr>
          <w:t>https://doi.org/10.1038/nature23655</w:t>
        </w:r>
      </w:hyperlink>
    </w:p>
    <w:p w:rsidR="006E1FC7" w:rsidRDefault="006E1FC7" w:rsidP="006E1FC7">
      <w:pPr>
        <w:pStyle w:val="ListParagraph"/>
      </w:pPr>
      <w:r>
        <w:t>The above paper itself requires subscription, but its preprint can be accessed at:</w:t>
      </w:r>
    </w:p>
    <w:p w:rsidR="006E1FC7" w:rsidRPr="002D13E8" w:rsidRDefault="006E1FC7" w:rsidP="006E1FC7">
      <w:pPr>
        <w:pStyle w:val="ListParagraph"/>
      </w:pPr>
      <w:hyperlink r:id="rId10" w:history="1">
        <w:r w:rsidRPr="006E1FC7">
          <w:rPr>
            <w:rStyle w:val="Hyperlink"/>
          </w:rPr>
          <w:t>https://arxiv.org/pdf/1707.00542</w:t>
        </w:r>
      </w:hyperlink>
      <w:r>
        <w:t xml:space="preserve"> </w:t>
      </w:r>
    </w:p>
    <w:sectPr w:rsidR="006E1FC7" w:rsidRPr="002D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10181"/>
    <w:multiLevelType w:val="hybridMultilevel"/>
    <w:tmpl w:val="ED6A9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02C3"/>
    <w:multiLevelType w:val="hybridMultilevel"/>
    <w:tmpl w:val="96A26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546E6"/>
    <w:multiLevelType w:val="hybridMultilevel"/>
    <w:tmpl w:val="60A4E098"/>
    <w:lvl w:ilvl="0" w:tplc="A89AB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EC077F"/>
    <w:multiLevelType w:val="hybridMultilevel"/>
    <w:tmpl w:val="9C5A9D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9A3888"/>
    <w:multiLevelType w:val="hybridMultilevel"/>
    <w:tmpl w:val="03C63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63121">
    <w:abstractNumId w:val="4"/>
  </w:num>
  <w:num w:numId="2" w16cid:durableId="2106152797">
    <w:abstractNumId w:val="2"/>
  </w:num>
  <w:num w:numId="3" w16cid:durableId="1848404940">
    <w:abstractNumId w:val="1"/>
  </w:num>
  <w:num w:numId="4" w16cid:durableId="1385986548">
    <w:abstractNumId w:val="3"/>
  </w:num>
  <w:num w:numId="5" w16cid:durableId="61756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92"/>
    <w:rsid w:val="001F0019"/>
    <w:rsid w:val="002A6A92"/>
    <w:rsid w:val="002D13E8"/>
    <w:rsid w:val="002D59A8"/>
    <w:rsid w:val="004813E1"/>
    <w:rsid w:val="006A452F"/>
    <w:rsid w:val="006E1FC7"/>
    <w:rsid w:val="00762522"/>
    <w:rsid w:val="008529B8"/>
    <w:rsid w:val="008E21A6"/>
    <w:rsid w:val="009B66B9"/>
    <w:rsid w:val="00A977D1"/>
    <w:rsid w:val="00B04B0D"/>
    <w:rsid w:val="00D35941"/>
    <w:rsid w:val="00F30D65"/>
    <w:rsid w:val="00F56C10"/>
    <w:rsid w:val="00F9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0387"/>
  <w15:chartTrackingRefBased/>
  <w15:docId w15:val="{ADABC394-323A-4214-9115-FF4FD818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cs.aps.org/articles/v15/172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38/s42005-022-01123-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707.00542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38/nature236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9287C-BFDE-4ABD-B8C4-E1B60BDB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Abhilash Kantamneni</dc:creator>
  <cp:keywords/>
  <dc:description/>
  <cp:lastModifiedBy>Venkat Abhilash Kantamneni</cp:lastModifiedBy>
  <cp:revision>1</cp:revision>
  <dcterms:created xsi:type="dcterms:W3CDTF">2024-11-07T03:10:00Z</dcterms:created>
  <dcterms:modified xsi:type="dcterms:W3CDTF">2024-11-07T06:40:00Z</dcterms:modified>
</cp:coreProperties>
</file>