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krobat" w:cs="akrobat" w:eastAsia="akrobat" w:hAnsi="akrobat"/>
          <w:sz w:val="40"/>
          <w:szCs w:val="40"/>
        </w:rPr>
      </w:pPr>
      <w:r w:rsidDel="00000000" w:rsidR="00000000" w:rsidRPr="00000000">
        <w:rPr>
          <w:rFonts w:ascii="akrobat" w:cs="akrobat" w:eastAsia="akrobat" w:hAnsi="akrobat"/>
          <w:b w:val="1"/>
          <w:sz w:val="40"/>
          <w:szCs w:val="40"/>
          <w:rtl w:val="0"/>
        </w:rPr>
        <w:t xml:space="preserve">Опросный лист. </w:t>
      </w:r>
      <w:r w:rsidDel="00000000" w:rsidR="00000000" w:rsidRPr="00000000">
        <w:rPr>
          <w:rFonts w:ascii="akrobat" w:cs="akrobat" w:eastAsia="akrobat" w:hAnsi="akrobat"/>
          <w:sz w:val="40"/>
          <w:szCs w:val="40"/>
          <w:rtl w:val="0"/>
        </w:rPr>
        <w:t xml:space="preserve">Ключевые показатели эффективности (КПЭ) и потребности контакт-центра.</w:t>
      </w:r>
    </w:p>
    <w:p w:rsidR="00000000" w:rsidDel="00000000" w:rsidP="00000000" w:rsidRDefault="00000000" w:rsidRPr="00000000" w14:paraId="00000002">
      <w:pPr>
        <w:rPr>
          <w:rFonts w:ascii="akrobat" w:cs="akrobat" w:eastAsia="akrobat" w:hAnsi="akrobat"/>
          <w:b w:val="1"/>
          <w:color w:val="0bc17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Для общего понимания текущей организационной структуры контакт-центра и ключевых показателей эффективности заполните все необходимые поля анкеты. </w:t>
      </w:r>
    </w:p>
    <w:p w:rsidR="00000000" w:rsidDel="00000000" w:rsidP="00000000" w:rsidRDefault="00000000" w:rsidRPr="00000000" w14:paraId="00000004">
      <w:pPr>
        <w:rPr>
          <w:rFonts w:ascii="akrobat" w:cs="akrobat" w:eastAsia="akrobat" w:hAnsi="akrob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80" w:firstLine="0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176.0" w:type="dxa"/>
        <w:tblBorders>
          <w:top w:color="0bc17c" w:space="0" w:sz="4" w:val="single"/>
          <w:bottom w:color="0bc17c" w:space="0" w:sz="4" w:val="single"/>
          <w:right w:color="0bc17c" w:space="0" w:sz="4" w:val="single"/>
          <w:insideH w:color="0bc17c" w:space="0" w:sz="4" w:val="single"/>
          <w:insideV w:color="0bc17c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  <w:rtl w:val="0"/>
              </w:rPr>
              <w:t xml:space="preserve">1. СВЕДЕНИЯ О ЗАКАЗЧИКЕ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-14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408"/>
        <w:gridCol w:w="7366"/>
        <w:tblGridChange w:id="0">
          <w:tblGrid>
            <w:gridCol w:w="3408"/>
            <w:gridCol w:w="73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Название организации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Адрес организации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Контактное лицо, телефон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krobat" w:cs="akrobat" w:eastAsia="akrobat" w:hAnsi="akrob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80" w:firstLine="0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-176.0" w:type="dxa"/>
        <w:tblBorders>
          <w:top w:color="0bc17c" w:space="0" w:sz="4" w:val="single"/>
          <w:bottom w:color="0bc17c" w:space="0" w:sz="4" w:val="single"/>
          <w:right w:color="0bc17c" w:space="0" w:sz="4" w:val="single"/>
          <w:insideH w:color="0bc17c" w:space="0" w:sz="4" w:val="single"/>
          <w:insideV w:color="0bc17c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  <w:rtl w:val="0"/>
              </w:rPr>
              <w:t xml:space="preserve">2. СВЕДЕНИЯ О КОНТАКТ-ЦЕНТРЕ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2.1. Опишите сферу деятельности контакт-центра (например, обслуживание клиентов, продажи, обработка претензионных обращений, техподдержка)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12" w:val="single"/>
          <w:bottom w:color="000000" w:space="1" w:sz="12" w:val="single"/>
        </w:pBd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12" w:val="single"/>
          <w:bottom w:color="000000" w:space="1" w:sz="12" w:val="single"/>
        </w:pBd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2.2. Укажите вид деятельности: 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Rule="auto"/>
        <w:ind w:left="624" w:firstLine="0"/>
        <w:rPr>
          <w:rFonts w:ascii="akrobat" w:cs="akrobat" w:eastAsia="akrobat" w:hAnsi="akrobat"/>
          <w:b w:val="1"/>
          <w:sz w:val="16"/>
          <w:szCs w:val="16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Корпоративный контакт-центр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Аутсорсинговый контакт-центр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80" w:lineRule="auto"/>
        <w:ind w:left="624" w:firstLine="0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2.3. Укажите в контакт-центре производится обслуживание физических и/или юридических лиц? В каком процентном соотношении?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12" w:val="single"/>
          <w:bottom w:color="000000" w:space="1" w:sz="12" w:val="single"/>
        </w:pBd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12" w:val="single"/>
          <w:bottom w:color="000000" w:space="1" w:sz="12" w:val="single"/>
        </w:pBd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Ind w:w="-176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2.4. Описание контакт-центра</w:t>
            </w:r>
          </w:p>
        </w:tc>
      </w:tr>
    </w:tbl>
    <w:p w:rsidR="00000000" w:rsidDel="00000000" w:rsidP="00000000" w:rsidRDefault="00000000" w:rsidRPr="00000000" w14:paraId="00000026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3.999999999998" w:type="dxa"/>
        <w:jc w:val="left"/>
        <w:tblInd w:w="-14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8523"/>
        <w:gridCol w:w="2251"/>
        <w:tblGridChange w:id="0">
          <w:tblGrid>
            <w:gridCol w:w="8523"/>
            <w:gridCol w:w="22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Количество площадок контакт-центра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Количество операторов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Количество супервизоров/контролеров качества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Максимальное количество одновременно работающих операторов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Существующие операторы связи SIP телефонии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Какая система записи используется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Есть ли CRM, какой вендор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Существующее ПО для биллинга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Перечислите стороннее ПО, интегрированное с контакт центром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Используются SIP телефоны или гарнитуры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Укажите типовою конфигурацию рабочих станций агентов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Процентное соотношение исходящих/входящих звонков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1"/>
              <w:rPr>
                <w:rFonts w:ascii="akrobat" w:cs="akrobat" w:eastAsia="akrobat" w:hAnsi="akrobat"/>
                <w:b w:val="1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rtl w:val="0"/>
              </w:rPr>
              <w:t xml:space="preserve">Требуется ли автодозвон (дайлер)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Ind w:w="-176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2.5. Организационная структура контакт-центра</w:t>
            </w:r>
          </w:p>
        </w:tc>
      </w:tr>
    </w:tbl>
    <w:p w:rsidR="00000000" w:rsidDel="00000000" w:rsidP="00000000" w:rsidRDefault="00000000" w:rsidRPr="00000000" w14:paraId="00000043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4.0" w:type="dxa"/>
        <w:jc w:val="left"/>
        <w:tblInd w:w="-14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8"/>
        <w:gridCol w:w="874"/>
        <w:gridCol w:w="1701"/>
        <w:gridCol w:w="1985"/>
        <w:gridCol w:w="4286"/>
        <w:tblGridChange w:id="0">
          <w:tblGrid>
            <w:gridCol w:w="1928"/>
            <w:gridCol w:w="874"/>
            <w:gridCol w:w="1701"/>
            <w:gridCol w:w="1985"/>
            <w:gridCol w:w="4286"/>
          </w:tblGrid>
        </w:tblGridChange>
      </w:tblGrid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Название направления /группы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Числен-ность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Канал обслуживания клиентов (телефон/электронная почта/чат)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Тип вызовов (для телефонного канала): исходящие/ входящие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Функциональные задачи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Сервисное направление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Направление обслуживания ЮЛ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Направление обслуживания ФЛ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4.0" w:type="dxa"/>
        <w:jc w:val="left"/>
        <w:tblInd w:w="-176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2.6. ТОП-10 основных тематик обращений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4.0" w:type="dxa"/>
        <w:jc w:val="left"/>
        <w:tblInd w:w="-14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661"/>
        <w:gridCol w:w="1701"/>
        <w:gridCol w:w="6412"/>
        <w:tblGridChange w:id="0">
          <w:tblGrid>
            <w:gridCol w:w="2661"/>
            <w:gridCol w:w="1701"/>
            <w:gridCol w:w="6412"/>
          </w:tblGrid>
        </w:tblGridChange>
      </w:tblGrid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Наименование темы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Канал обслуживания клиентов / направление звонка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Краткое описание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8E">
            <w:pPr>
              <w:keepNext w:val="1"/>
              <w:tabs>
                <w:tab w:val="left" w:pos="1543"/>
                <w:tab w:val="center" w:pos="4711"/>
              </w:tabs>
              <w:jc w:val="center"/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  <w:rtl w:val="0"/>
              </w:rPr>
              <w:t xml:space="preserve">3. СВЕДЕНИЯ О НАГРУЗКЕ</w:t>
            </w:r>
          </w:p>
        </w:tc>
      </w:tr>
    </w:tbl>
    <w:p w:rsidR="00000000" w:rsidDel="00000000" w:rsidP="00000000" w:rsidRDefault="00000000" w:rsidRPr="00000000" w14:paraId="0000008F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3.1 Среднее суточное количество телефонных вызовов, обслуженных операторами в контакт-центре</w:t>
            </w:r>
          </w:p>
        </w:tc>
      </w:tr>
    </w:tbl>
    <w:p w:rsidR="00000000" w:rsidDel="00000000" w:rsidP="00000000" w:rsidRDefault="00000000" w:rsidRPr="00000000" w14:paraId="00000091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3.2 Часы пиковой нагрузки контакт-центра</w:t>
            </w:r>
          </w:p>
        </w:tc>
      </w:tr>
    </w:tbl>
    <w:p w:rsidR="00000000" w:rsidDel="00000000" w:rsidP="00000000" w:rsidRDefault="00000000" w:rsidRPr="00000000" w14:paraId="00000094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3.3 Среднее количество и средняя продолжительность телефонных вызовов, обслуженных операторами в часы пиковой нагрузки контакт-центра в сутки</w:t>
            </w:r>
          </w:p>
        </w:tc>
      </w:tr>
    </w:tbl>
    <w:p w:rsidR="00000000" w:rsidDel="00000000" w:rsidP="00000000" w:rsidRDefault="00000000" w:rsidRPr="00000000" w14:paraId="00000097">
      <w:pPr>
        <w:pBdr>
          <w:bottom w:color="000000" w:space="1" w:sz="12" w:val="single"/>
        </w:pBdr>
        <w:spacing w:before="12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12" w:val="single"/>
        </w:pBdr>
        <w:spacing w:before="12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74.0" w:type="dxa"/>
        <w:jc w:val="left"/>
        <w:tblInd w:w="-176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3.4 Количество и средняя продолжительность вызова по группам</w:t>
            </w:r>
          </w:p>
        </w:tc>
      </w:tr>
    </w:tbl>
    <w:p w:rsidR="00000000" w:rsidDel="00000000" w:rsidP="00000000" w:rsidRDefault="00000000" w:rsidRPr="00000000" w14:paraId="0000009B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4.0" w:type="dxa"/>
        <w:jc w:val="left"/>
        <w:tblInd w:w="-14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36"/>
        <w:gridCol w:w="2551"/>
        <w:gridCol w:w="5987"/>
        <w:tblGridChange w:id="0">
          <w:tblGrid>
            <w:gridCol w:w="2236"/>
            <w:gridCol w:w="2551"/>
            <w:gridCol w:w="5987"/>
          </w:tblGrid>
        </w:tblGridChange>
      </w:tblGrid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Название направления/ группы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Средняя продолжительность вызова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Среднее суточное количество телефонных вызовов, обслуженных операторами по направлению/группе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3.5. Укажите, используется ли в контакт-центре автоматизация: IVR, отправка информации в sms, другое (опишите)?</w:t>
            </w:r>
          </w:p>
        </w:tc>
      </w:tr>
    </w:tbl>
    <w:p w:rsidR="00000000" w:rsidDel="00000000" w:rsidP="00000000" w:rsidRDefault="00000000" w:rsidRPr="00000000" w14:paraId="000000B1">
      <w:pPr>
        <w:pBdr>
          <w:bottom w:color="000000" w:space="1" w:sz="12" w:val="single"/>
        </w:pBd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bottom w:color="000000" w:space="1" w:sz="12" w:val="single"/>
        </w:pBd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bottom w:color="000000" w:space="1" w:sz="12" w:val="single"/>
        </w:pBd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B7">
            <w:pPr>
              <w:keepNext w:val="1"/>
              <w:jc w:val="center"/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  <w:rtl w:val="0"/>
              </w:rPr>
              <w:t xml:space="preserve">4. СВЕДЕНИЯ О КПЭ КОНТАКТ-ЦЕНТРА</w:t>
            </w:r>
          </w:p>
        </w:tc>
      </w:tr>
    </w:tbl>
    <w:p w:rsidR="00000000" w:rsidDel="00000000" w:rsidP="00000000" w:rsidRDefault="00000000" w:rsidRPr="00000000" w14:paraId="000000B8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krobat" w:cs="akrobat" w:eastAsia="akrobat" w:hAnsi="akrob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Какие показатели измеряются в контакт-центре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spacing w:after="80" w:lineRule="auto"/>
        <w:ind w:left="624" w:firstLine="0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Average Handling Time (AHT),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средняя длительность вызова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spacing w:after="80" w:lineRule="auto"/>
        <w:ind w:left="624" w:firstLine="0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Service Level (SL),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доля обслуженных вызовов в заданный период</w:t>
      </w: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LostCallRate (LCR),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доля потерянных вызовов в заданный период</w:t>
      </w: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spacing w:after="80" w:lineRule="auto"/>
        <w:ind w:left="624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Repeated Calls (RC),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доля повторных вызовов пришедших с одного номера в течение суток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keepNext w:val="1"/>
        <w:ind w:firstLine="624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First Call Resolution (FCR),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решение вопроса клиента при первом звонке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keepNext w:val="1"/>
        <w:ind w:firstLine="624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 Опишите методику измерения</w:t>
      </w:r>
    </w:p>
    <w:p w:rsidR="00000000" w:rsidDel="00000000" w:rsidP="00000000" w:rsidRDefault="00000000" w:rsidRPr="00000000" w14:paraId="000000C1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142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ind w:firstLine="624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Customer Satisfaction (CS),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удовлетворенность обслуживанием</w:t>
      </w: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keepNext w:val="1"/>
        <w:ind w:firstLine="624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Опишите методику измерения</w:t>
      </w:r>
    </w:p>
    <w:p w:rsidR="00000000" w:rsidDel="00000000" w:rsidP="00000000" w:rsidRDefault="00000000" w:rsidRPr="00000000" w14:paraId="000000C5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ind w:firstLine="624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Quality monitoring (QM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), соблюдение оператором регламента обслуживания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keepNext w:val="1"/>
        <w:ind w:firstLine="624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Опишите методику измерения</w:t>
      </w:r>
    </w:p>
    <w:p w:rsidR="00000000" w:rsidDel="00000000" w:rsidP="00000000" w:rsidRDefault="00000000" w:rsidRPr="00000000" w14:paraId="000000C9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80" w:lineRule="auto"/>
        <w:ind w:left="624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Offer Rate (OR), 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доля  запросов по предоставлению информации и консультированию, где было предложение продажи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Conversion Rate (CR),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доля запросов по предоставлению информации и консультированию,  в которых состоялись подтверждённые продажи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spacing w:after="80" w:lineRule="auto"/>
        <w:ind w:left="624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Self-Service Rate (SSR)</w:t>
      </w:r>
      <w:r w:rsidDel="00000000" w:rsidR="00000000" w:rsidRPr="00000000">
        <w:rPr>
          <w:rFonts w:ascii="akrobat" w:cs="akrobat" w:eastAsia="akrobat" w:hAnsi="akrobat"/>
          <w:rtl w:val="0"/>
        </w:rPr>
        <w:t xml:space="preserve">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доля от всего объёма сервисов КЦ, полученных клиентами самостоятельно в IVR, без участия оператора КЦ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keepNext w:val="1"/>
        <w:spacing w:after="80" w:lineRule="auto"/>
        <w:ind w:left="624" w:firstLine="0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Другое ( уточните):</w:t>
      </w:r>
      <w:r w:rsidDel="00000000" w:rsidR="00000000" w:rsidRPr="00000000">
        <w:rPr>
          <w:rFonts w:ascii="akrobat" w:cs="akrobat" w:eastAsia="akrobat" w:hAnsi="akrobat"/>
          <w:sz w:val="16"/>
          <w:szCs w:val="1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8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74.0" w:type="dxa"/>
        <w:jc w:val="left"/>
        <w:tblInd w:w="-176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4.2. Укажите целевые показатели и фактические значения по направлениям/группам</w:t>
            </w:r>
          </w:p>
        </w:tc>
      </w:tr>
    </w:tbl>
    <w:p w:rsidR="00000000" w:rsidDel="00000000" w:rsidP="00000000" w:rsidRDefault="00000000" w:rsidRPr="00000000" w14:paraId="000000D2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6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694"/>
        <w:gridCol w:w="2268"/>
        <w:gridCol w:w="2126"/>
        <w:gridCol w:w="2977"/>
        <w:tblGridChange w:id="0">
          <w:tblGrid>
            <w:gridCol w:w="2694"/>
            <w:gridCol w:w="2268"/>
            <w:gridCol w:w="2126"/>
            <w:gridCol w:w="2977"/>
          </w:tblGrid>
        </w:tblGridChange>
      </w:tblGrid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Название направления/группы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Ключевой показатель эффективности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Фактическое значение показателя 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Целевое значение показателя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1"/>
              <w:jc w:val="center"/>
              <w:rPr>
                <w:rFonts w:ascii="akrobat" w:cs="akrobat" w:eastAsia="akrobat" w:hAnsi="akrob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krobat" w:cs="akrobat" w:eastAsia="akrobat" w:hAnsi="akrob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Какие показатели необходимо улучшить с помощью системы аналитики? Расставьте приоритеты,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Average Handling Time (AHT)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keepNext w:val="1"/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Repeated Calls (RC)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First Call Resolution (FCR)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Customer Satisfaction (CS)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Quality Monitoring (QM)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Conversion Rate (CR)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0">
      <w:pPr>
        <w:keepNext w:val="1"/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Другое ( уточните):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color w:val="ffffff"/>
                <w:sz w:val="20"/>
                <w:szCs w:val="20"/>
                <w:rtl w:val="0"/>
              </w:rPr>
              <w:t xml:space="preserve">5. СВЕДЕНИЯ О МОТИВАЦИИ ОПЕРАТОРОВ КОНТАКТ-ЦЕНТРА</w:t>
            </w:r>
          </w:p>
        </w:tc>
      </w:tr>
    </w:tbl>
    <w:p w:rsidR="00000000" w:rsidDel="00000000" w:rsidP="00000000" w:rsidRDefault="00000000" w:rsidRPr="00000000" w14:paraId="000000F5">
      <w:pPr>
        <w:spacing w:after="80" w:lineRule="auto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keepNext w:val="1"/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5.1. Как осуществляется ручная оценка качества обслуживания?</w:t>
            </w:r>
          </w:p>
        </w:tc>
      </w:tr>
    </w:tbl>
    <w:p w:rsidR="00000000" w:rsidDel="00000000" w:rsidP="00000000" w:rsidRDefault="00000000" w:rsidRPr="00000000" w14:paraId="000000F7">
      <w:pPr>
        <w:keepNext w:val="1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Не осуществляется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keepNext w:val="1"/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Проводится в оценочной форме в excel/word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Проводится в специальном ПО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B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Данные для мотивации сотрудников сводятся вручную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Данные для системы мотивации выгружаются автоматически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keepNext w:val="1"/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Другое ( уточните):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5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keepNext w:val="1"/>
        <w:pBdr>
          <w:bottom w:color="000000" w:space="1" w:sz="12" w:val="single"/>
        </w:pBdr>
        <w:spacing w:before="24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8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80" w:lineRule="auto"/>
        <w:ind w:left="142" w:firstLine="0"/>
        <w:rPr>
          <w:rFonts w:ascii="akrobat" w:cs="akrobat" w:eastAsia="akrobat" w:hAnsi="akrob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774.0" w:type="dxa"/>
        <w:jc w:val="left"/>
        <w:tblInd w:w="-176.0" w:type="dxa"/>
        <w:tblBorders>
          <w:top w:color="009aa5" w:space="0" w:sz="4" w:val="single"/>
          <w:left w:color="009aa5" w:space="0" w:sz="4" w:val="single"/>
          <w:bottom w:color="009aa5" w:space="0" w:sz="4" w:val="single"/>
          <w:right w:color="009aa5" w:space="0" w:sz="4" w:val="single"/>
          <w:insideH w:color="009aa5" w:space="0" w:sz="4" w:val="single"/>
          <w:insideV w:color="009aa5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rPr>
                <w:rFonts w:ascii="akrobat" w:cs="akrobat" w:eastAsia="akrobat" w:hAnsi="akrob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krobat" w:cs="akrobat" w:eastAsia="akrobat" w:hAnsi="akrobat"/>
                <w:b w:val="1"/>
                <w:sz w:val="20"/>
                <w:szCs w:val="20"/>
                <w:rtl w:val="0"/>
              </w:rPr>
              <w:t xml:space="preserve">5.2. Какие показатели влияют на размер денежной премии/штрафа оператора?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Качество работы (Укажите какие показатели: соблюдение  регламента, работа с базами данных и т.д.)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pBdr>
          <w:bottom w:color="000000" w:space="1" w:sz="12" w:val="single"/>
        </w:pBdr>
        <w:spacing w:after="80" w:lineRule="auto"/>
        <w:ind w:left="624" w:firstLine="0"/>
        <w:rPr>
          <w:rFonts w:ascii="akrobat" w:cs="akrobat" w:eastAsia="akrobat" w:hAnsi="akrob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Продуктивность, количество обработанных вызовов в час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-12699</wp:posOffset>
                </wp:positionV>
                <wp:extent cx="189230" cy="18923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-12699</wp:posOffset>
                </wp:positionV>
                <wp:extent cx="189230" cy="189230"/>
                <wp:effectExtent b="0" l="0" r="0" t="0"/>
                <wp:wrapNone/>
                <wp:docPr id="5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189230" cy="18923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165100</wp:posOffset>
                </wp:positionV>
                <wp:extent cx="189230" cy="189230"/>
                <wp:effectExtent b="0" l="0" r="0" t="0"/>
                <wp:wrapNone/>
                <wp:docPr id="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spacing w:after="80" w:lineRule="auto"/>
        <w:ind w:left="624" w:firstLine="0"/>
        <w:rPr>
          <w:rFonts w:ascii="akrobat" w:cs="akrobat" w:eastAsia="akrobat" w:hAnsi="akrobat"/>
          <w:sz w:val="16"/>
          <w:szCs w:val="16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Average Handling Time (AHT), </w:t>
      </w:r>
      <w:r w:rsidDel="00000000" w:rsidR="00000000" w:rsidRPr="00000000">
        <w:rPr>
          <w:rFonts w:ascii="akrobat" w:cs="akrobat" w:eastAsia="akrobat" w:hAnsi="akrobat"/>
          <w:sz w:val="20"/>
          <w:szCs w:val="20"/>
          <w:rtl w:val="0"/>
        </w:rPr>
        <w:t xml:space="preserve">средняя длительность вызова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Трудовая дисциплина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6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Другие показатели. Укажите какие именно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56148" y="3690148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9230" cy="189230"/>
                <wp:effectExtent b="0" l="0" r="0" t="0"/>
                <wp:wrapNone/>
                <wp:docPr id="4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pBdr>
          <w:bottom w:color="000000" w:space="0" w:sz="12" w:val="single"/>
        </w:pBdr>
        <w:spacing w:after="80" w:lineRule="auto"/>
        <w:ind w:left="624" w:firstLine="0"/>
        <w:rPr>
          <w:rFonts w:ascii="akrobat" w:cs="akrobat" w:eastAsia="akrobat" w:hAnsi="akrob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bottom w:color="000000" w:space="0" w:sz="12" w:val="single"/>
        </w:pBdr>
        <w:spacing w:after="80" w:lineRule="auto"/>
        <w:ind w:left="624" w:firstLine="0"/>
        <w:rPr>
          <w:rFonts w:ascii="akrobat" w:cs="akrobat" w:eastAsia="akrobat" w:hAnsi="akrob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80" w:lineRule="auto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189230" cy="20701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56148" y="3681258"/>
                          <a:ext cx="179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189230" cy="207010"/>
                <wp:effectExtent b="0" l="0" r="0" t="0"/>
                <wp:wrapNone/>
                <wp:docPr id="6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" cy="207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80" w:lineRule="auto"/>
        <w:ind w:left="624" w:firstLine="0"/>
        <w:rPr>
          <w:rFonts w:ascii="akrobat" w:cs="akrobat" w:eastAsia="akrobat" w:hAnsi="akrobat"/>
          <w:b w:val="1"/>
          <w:sz w:val="20"/>
          <w:szCs w:val="20"/>
        </w:rPr>
      </w:pPr>
      <w:r w:rsidDel="00000000" w:rsidR="00000000" w:rsidRPr="00000000">
        <w:rPr>
          <w:rFonts w:ascii="akrobat" w:cs="akrobat" w:eastAsia="akrobat" w:hAnsi="akrobat"/>
          <w:b w:val="1"/>
          <w:sz w:val="20"/>
          <w:szCs w:val="20"/>
          <w:rtl w:val="0"/>
        </w:rPr>
        <w:t xml:space="preserve">Система мотивации отсутствует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headerReference r:id="rId3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kroba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745861"/>
    <w:pPr>
      <w:spacing w:after="0" w:line="240" w:lineRule="auto"/>
    </w:pPr>
    <w:rPr>
      <w:rFonts w:ascii="Arial" w:cs="Times New Roman" w:eastAsia="Times New Roman" w:hAnsi="Arial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45861"/>
    <w:pPr>
      <w:ind w:left="720"/>
      <w:contextualSpacing w:val="1"/>
    </w:pPr>
    <w:rPr>
      <w:rFonts w:ascii="Times New Roman" w:hAnsi="Times New Roman"/>
      <w:lang w:eastAsia="ar-SA"/>
    </w:rPr>
  </w:style>
  <w:style w:type="table" w:styleId="a4">
    <w:name w:val="Grid Table Light"/>
    <w:basedOn w:val="a1"/>
    <w:uiPriority w:val="40"/>
    <w:rsid w:val="0074586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image" Target="media/image22.png"/><Relationship Id="rId24" Type="http://schemas.openxmlformats.org/officeDocument/2006/relationships/image" Target="media/image1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9.png"/><Relationship Id="rId25" Type="http://schemas.openxmlformats.org/officeDocument/2006/relationships/image" Target="media/image9.png"/><Relationship Id="rId28" Type="http://schemas.openxmlformats.org/officeDocument/2006/relationships/image" Target="media/image14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3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11" Type="http://schemas.openxmlformats.org/officeDocument/2006/relationships/image" Target="media/image11.png"/><Relationship Id="rId33" Type="http://schemas.openxmlformats.org/officeDocument/2006/relationships/image" Target="media/image12.png"/><Relationship Id="rId10" Type="http://schemas.openxmlformats.org/officeDocument/2006/relationships/image" Target="media/image1.png"/><Relationship Id="rId32" Type="http://schemas.openxmlformats.org/officeDocument/2006/relationships/image" Target="media/image21.png"/><Relationship Id="rId13" Type="http://schemas.openxmlformats.org/officeDocument/2006/relationships/image" Target="media/image31.png"/><Relationship Id="rId35" Type="http://schemas.openxmlformats.org/officeDocument/2006/relationships/image" Target="media/image5.png"/><Relationship Id="rId12" Type="http://schemas.openxmlformats.org/officeDocument/2006/relationships/image" Target="media/image19.png"/><Relationship Id="rId34" Type="http://schemas.openxmlformats.org/officeDocument/2006/relationships/image" Target="media/image17.png"/><Relationship Id="rId15" Type="http://schemas.openxmlformats.org/officeDocument/2006/relationships/image" Target="media/image20.png"/><Relationship Id="rId37" Type="http://schemas.openxmlformats.org/officeDocument/2006/relationships/image" Target="media/image15.png"/><Relationship Id="rId14" Type="http://schemas.openxmlformats.org/officeDocument/2006/relationships/image" Target="media/image26.png"/><Relationship Id="rId36" Type="http://schemas.openxmlformats.org/officeDocument/2006/relationships/image" Target="media/image30.png"/><Relationship Id="rId17" Type="http://schemas.openxmlformats.org/officeDocument/2006/relationships/image" Target="media/image7.png"/><Relationship Id="rId39" Type="http://schemas.openxmlformats.org/officeDocument/2006/relationships/header" Target="header1.xml"/><Relationship Id="rId16" Type="http://schemas.openxmlformats.org/officeDocument/2006/relationships/image" Target="media/image10.png"/><Relationship Id="rId38" Type="http://schemas.openxmlformats.org/officeDocument/2006/relationships/image" Target="media/image32.png"/><Relationship Id="rId19" Type="http://schemas.openxmlformats.org/officeDocument/2006/relationships/image" Target="media/image1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pYMHEzMqMb3kJ1qJNF1w5vQVA==">AMUW2mVlF+NLjnL2l++11feG0ie6bujoDYD370yg6infGhAuZD8iRh1IQBMtwkvcDfyDE3QpwBwES0mUzGVf73wd2QRPpjmfxqp01OE3+CNtuox3exjqczo=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2022-10-07T05:45:00Z</dcterms:created>
  <dc:creator>Vyacheslav Michshenko</dc:creator>
</cp:coreProperties>
</file>