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МИНИСТЕРСТВО ОБРАЗОВАНИЯ РЕСПУБЛИКИ БЕЛАРУСЬ</w:t>
      </w:r>
    </w:p>
    <w:p>
      <w:pPr>
        <w:pStyle w:val="Normal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БЕЛОРУССКИЙ ГОСУДАРСТВЕННЫЙ УНИВЕРСИТЕТ</w:t>
      </w:r>
    </w:p>
    <w:p>
      <w:pPr>
        <w:pStyle w:val="Normal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ФАКУЛЬТЕТ РАДИОФИЗИКИ И КОМПЬЮТЕРНЫХ ТЕХНОЛОГИЙ</w:t>
      </w:r>
    </w:p>
    <w:p>
      <w:pPr>
        <w:pStyle w:val="Normal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Кафедра интеллектуальных систем</w:t>
      </w:r>
    </w:p>
    <w:p>
      <w:pPr>
        <w:pStyle w:val="Normal"/>
        <w:spacing w:before="0" w:after="180"/>
        <w:rPr>
          <w:color w:val="000000"/>
        </w:rPr>
      </w:pPr>
      <w:r>
        <w:rPr>
          <w:b/>
          <w:color w:val="000000"/>
          <w:sz w:val="21"/>
          <w:szCs w:val="21"/>
        </w:rPr>
        <w:br/>
        <w:br/>
        <w:br/>
        <w:br/>
        <w:br/>
        <w:br/>
        <w:br/>
      </w:r>
    </w:p>
    <w:p>
      <w:pPr>
        <w:pStyle w:val="BodyText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</w:rPr>
        <w:t>С</w:t>
      </w: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</w:rPr>
        <w:t>оздание аппаратного устройства отслеживания (трекера)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</w:rPr>
        <w:t>«SecureTag» с системой биометрической защиты и двухфакторной аутентификацией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180"/>
        <w:rPr>
          <w:color w:val="000000"/>
        </w:rPr>
      </w:pPr>
      <w:r>
        <w:rPr>
          <w:color w:val="000000"/>
          <w:sz w:val="21"/>
          <w:szCs w:val="21"/>
        </w:rPr>
        <w:br/>
        <w:br/>
        <w:br/>
        <w:br/>
      </w:r>
    </w:p>
    <w:p>
      <w:pPr>
        <w:pStyle w:val="Normal"/>
        <w:ind w:left="4140"/>
        <w:jc w:val="righ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работу выполнил:</w:t>
      </w:r>
    </w:p>
    <w:p>
      <w:pPr>
        <w:pStyle w:val="Normal"/>
        <w:ind w:left="4140"/>
        <w:jc w:val="righ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студент 3 курса, 5 группы</w:t>
      </w:r>
    </w:p>
    <w:p>
      <w:pPr>
        <w:pStyle w:val="Normal"/>
        <w:ind w:left="414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Борисевич Денис</w:t>
      </w:r>
    </w:p>
    <w:p>
      <w:pPr>
        <w:pStyle w:val="Normal"/>
        <w:ind w:left="414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18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spacing w:before="0" w:after="18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br/>
        <w:br/>
        <w:br/>
      </w:r>
    </w:p>
    <w:p>
      <w:pPr>
        <w:pStyle w:val="Normal"/>
        <w:spacing w:before="0" w:after="18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spacing w:before="0" w:after="18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spacing w:before="0" w:after="18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spacing w:before="0" w:after="180"/>
        <w:rPr>
          <w:color w:val="000000"/>
        </w:rPr>
      </w:pPr>
      <w:r>
        <w:rPr>
          <w:color w:val="000000"/>
          <w:sz w:val="21"/>
          <w:szCs w:val="21"/>
        </w:rPr>
        <w:br/>
      </w:r>
    </w:p>
    <w:p>
      <w:pPr>
        <w:pStyle w:val="Normal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Минск, 2025</w:t>
      </w:r>
    </w:p>
    <w:p>
      <w:pPr>
        <w:pStyle w:val="Heading3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</w:rPr>
        <w:t>1. ОБЩИЕ ПОЛОЖЕНИЯ</w:t>
      </w:r>
    </w:p>
    <w:p>
      <w:pPr>
        <w:pStyle w:val="Heading4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1.1. Предметная область и анализ рынка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Проект реализуется в секторе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Consumer IoT (Internet of Things)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, в сегменте носимой электроники и устройств геолокации.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Глобальные тенденции: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Рынок Bluetooth-маячков и трекеров демонстрирует агрессивный рост. Согласно отчетам </w:t>
      </w:r>
      <w:r>
        <w:rPr>
          <w:rStyle w:val="Emphasis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Grand View Research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, объем мирового рынка технологий BLE-трекинга достигнет $5.6 млрд к 2026 году при среднегодовом темпе роста (CAGR) более 15%. Драйверами роста являются увеличение мобильности населения и экосистемы «Умного дома».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Рынок Республики Беларусь: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В Беларуси наблюдается устойчивый спрос на носимую электронику. После ухода ряда брендов и усложнения логистики официальных поставок Apple, рынок заполнился дорогим «серым» импортом или дешевыми китайскими аналогами низкого качества. Потребители ищут доступные (в диапазоне 60-80 BYN) и надежные устройства с гарантией и поддержкой.</w:t>
      </w:r>
    </w:p>
    <w:p>
      <w:pPr>
        <w:pStyle w:val="Heading4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1.2. Актуальность проекта и проблематика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Анализ пользовательского опыта (Customer Journey Map) выявил критические уязвимости текущих решений: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Физическая незащищенность: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Конструкция большинства трекеров позволяет извлечь батарейку CR2032 за секунды, делая устройство бесполезным при краже.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Отсутствие верификации владельца: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Найденный трекер часто можно сбросить (Hard Reset) и присвоить.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Проблема приватности: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Риск скрытой слежки (сталкинга).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Социальная значимость: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Проект повышает уровень безопасности имущества граждан, предлагая отечественный продукт с функцией защиты от кражи самого устройства.</w:t>
      </w:r>
    </w:p>
    <w:p>
      <w:pPr>
        <w:pStyle w:val="Heading4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</w:rPr>
        <w:t>1.3. Цель и стратегические задачи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Стратегическая цель: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Создать конкурентоспособный продукт в сегменте персональных устройств безопасности, занять 3-5% рынка умных меток в Республике Беларусь за 2 года и наладить экспорт в страны ЕАЭС.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Ключевые задачи: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R&amp;D: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Разработать схемотехнику, обеспечивающую работу сканера отпечатка пальца от одной батарейки CR2032 (или аккумулятора) не менее 6 месяцев.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ПО: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Реализовать защищенный протокол обмена данными (шифрование AES-256) и мобильное приложение.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Производство: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Организовать контрактное производство (пластик, SMT-монтаж) с использованием мощностей в РБ или Китае.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Коммерциализация: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Выйти на ключевые маркетплейсы Беларуси (Onliner, Wildberries, 21vek).</w:t>
      </w:r>
    </w:p>
    <w:p>
      <w:pPr>
        <w:pStyle w:val="Heading3"/>
        <w:spacing w:before="480" w:after="120"/>
        <w:rPr>
          <w:rFonts w:ascii="Times New Roman" w:hAnsi="Times New Roman" w:eastAsia="Times New Roman" w:cs="Times New Roman"/>
          <w:b/>
        </w:rPr>
      </w:pPr>
      <w:r>
        <w:rPr>
          <w:rStyle w:val="Strong"/>
          <w:rFonts w:eastAsia="Times New Roman" w:cs="Times New Roman" w:ascii="Times New Roman" w:hAnsi="Times New Roman"/>
          <w:color w:val="000000"/>
        </w:rPr>
        <w:t>2. ОБОСНОВАНИЕ КОНКУРЕНТНЫХ ПРЕИМУЩЕСТВ И НОВИЗНЫ</w:t>
      </w:r>
    </w:p>
    <w:p>
      <w:pPr>
        <w:pStyle w:val="Heading4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</w:rPr>
        <w:t>2.1. Технологическая инновационность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Основная инновация SecureTag — интеграция биометрического контроллера в цепь управления питанием сверхмалого потребления.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Гибридный режим сна: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Сканер активируется только при внешнем триггере, что сохраняет заряд батареи.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Энергоэффективность: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Использование чипов BLE 5.2 позволяет достичь высокой автономности.</w:t>
      </w:r>
    </w:p>
    <w:p>
      <w:pPr>
        <w:pStyle w:val="Heading4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</w:rPr>
        <w:t>2.2. Архитектура безопасности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Система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«SecureLock»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Защита питания: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Корпус невозможно открыть или обесточить без биометрической авторизации.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Защита от сброса: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Хеш отпечатка хранится в защищенной памяти (Secure Element).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Двухфакторная аутентификация (2FA):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Изменение настроек требует подтверждения смартфоном и пальцем.</w:t>
      </w:r>
    </w:p>
    <w:p>
      <w:pPr>
        <w:pStyle w:val="Heading4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</w:rPr>
        <w:t>2.3. Защита интеллектуальной собственности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Планируется регистрация в Национальном центре интеллектуальной собственности (НЦИС):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Полезная модель: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Конструкция корпуса с биометрической блокировкой.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Программа для ЭВМ: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Исходный код прошивки.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Товарный знак: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«SecureTag».</w:t>
      </w:r>
    </w:p>
    <w:p>
      <w:pPr>
        <w:pStyle w:val="Heading3"/>
        <w:spacing w:before="480" w:after="120"/>
        <w:rPr>
          <w:rFonts w:ascii="Times New Roman" w:hAnsi="Times New Roman" w:eastAsia="Times New Roman" w:cs="Times New Roman"/>
          <w:b/>
        </w:rPr>
      </w:pPr>
      <w:r>
        <w:rPr>
          <w:rStyle w:val="Strong"/>
          <w:rFonts w:eastAsia="Times New Roman" w:cs="Times New Roman" w:ascii="Times New Roman" w:hAnsi="Times New Roman"/>
          <w:color w:val="000000"/>
        </w:rPr>
        <w:t>3. ПЛАН РАБОТ, СРОКИ И УПРАВЛЕНИЕ ПРОЕКТОМ</w:t>
      </w:r>
    </w:p>
    <w:p>
      <w:pPr>
        <w:pStyle w:val="Heading4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</w:rPr>
        <w:t>3.1. Календарный план реализации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Общий срок до старта продаж: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8 месяцев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.</w:t>
      </w:r>
    </w:p>
    <w:tbl>
      <w:tblPr>
        <w:tblW w:w="902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1"/>
        <w:gridCol w:w="3351"/>
        <w:gridCol w:w="1895"/>
        <w:gridCol w:w="1150"/>
        <w:gridCol w:w="2159"/>
      </w:tblGrid>
      <w:tr>
        <w:trPr/>
        <w:tc>
          <w:tcPr>
            <w:tcW w:w="471" w:type="dxa"/>
            <w:tcBorders/>
            <w:vAlign w:val="center"/>
          </w:tcPr>
          <w:p>
            <w:pPr>
              <w:pStyle w:val="Style13"/>
              <w:widowControl/>
              <w:spacing w:before="480" w:after="12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ID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13"/>
              <w:widowControl/>
              <w:spacing w:before="480" w:after="12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Этап работ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Style13"/>
              <w:widowControl/>
              <w:spacing w:before="480" w:after="12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Длительность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Style13"/>
              <w:widowControl/>
              <w:spacing w:before="480" w:after="12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Месяцы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Style13"/>
              <w:widowControl/>
              <w:spacing w:before="480" w:after="12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Ответственный</w:t>
            </w:r>
          </w:p>
        </w:tc>
      </w:tr>
      <w:tr>
        <w:trPr/>
        <w:tc>
          <w:tcPr>
            <w:tcW w:w="47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НИОКР и Прототипирование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2 мес.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1-2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CTO</w:t>
            </w:r>
          </w:p>
        </w:tc>
      </w:tr>
      <w:tr>
        <w:trPr/>
        <w:tc>
          <w:tcPr>
            <w:tcW w:w="47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1.1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Разработка схемы и подбор BOM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2 нед.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1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Инженер</w:t>
            </w:r>
          </w:p>
        </w:tc>
      </w:tr>
      <w:tr>
        <w:trPr/>
        <w:tc>
          <w:tcPr>
            <w:tcW w:w="47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1.2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Трассировка платы (PCB)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2 нед.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1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Инженер</w:t>
            </w:r>
          </w:p>
        </w:tc>
      </w:tr>
      <w:tr>
        <w:trPr/>
        <w:tc>
          <w:tcPr>
            <w:tcW w:w="47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1.3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Дизайн корпуса и 3D-печать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3 нед.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2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Дизайнер</w:t>
            </w:r>
          </w:p>
        </w:tc>
      </w:tr>
      <w:tr>
        <w:trPr/>
        <w:tc>
          <w:tcPr>
            <w:tcW w:w="47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1.4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Сборка MVP (пайка, прошивка v0.1)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1 нед.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2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CTO</w:t>
            </w:r>
          </w:p>
        </w:tc>
      </w:tr>
      <w:tr>
        <w:trPr/>
        <w:tc>
          <w:tcPr>
            <w:tcW w:w="47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Разработка ПО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3 мес.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2-4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Team Lead</w:t>
            </w:r>
          </w:p>
        </w:tc>
      </w:tr>
      <w:tr>
        <w:trPr/>
        <w:tc>
          <w:tcPr>
            <w:tcW w:w="47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2.1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Разработка прошивки (Firmware)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2 мес.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2-3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Embedded</w:t>
            </w:r>
          </w:p>
        </w:tc>
      </w:tr>
      <w:tr>
        <w:trPr/>
        <w:tc>
          <w:tcPr>
            <w:tcW w:w="47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2.2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Мобильное приложение (iOS/Android)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3 мес.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2-4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Mobile dev</w:t>
            </w:r>
          </w:p>
        </w:tc>
      </w:tr>
      <w:tr>
        <w:trPr/>
        <w:tc>
          <w:tcPr>
            <w:tcW w:w="47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2.3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Backend сервер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1 мес.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3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Backend</w:t>
            </w:r>
          </w:p>
        </w:tc>
      </w:tr>
      <w:tr>
        <w:trPr/>
        <w:tc>
          <w:tcPr>
            <w:tcW w:w="47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Подготовка к производству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2 мес.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5-6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CEO</w:t>
            </w:r>
          </w:p>
        </w:tc>
      </w:tr>
      <w:tr>
        <w:trPr/>
        <w:tc>
          <w:tcPr>
            <w:tcW w:w="47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3.1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Заказ пресс-форм (Molding)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1.5 мес.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5-6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Аутсорс</w:t>
            </w:r>
          </w:p>
        </w:tc>
      </w:tr>
      <w:tr>
        <w:trPr/>
        <w:tc>
          <w:tcPr>
            <w:tcW w:w="47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3.2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Закупка компонентов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1 мес.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5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Логист</w:t>
            </w:r>
          </w:p>
        </w:tc>
      </w:tr>
      <w:tr>
        <w:trPr/>
        <w:tc>
          <w:tcPr>
            <w:tcW w:w="47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3.3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Сертификация (ЕАС, БелГИЭ/ОАЦ)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1.5 мес.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5-6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Юрист</w:t>
            </w:r>
          </w:p>
        </w:tc>
      </w:tr>
      <w:tr>
        <w:trPr/>
        <w:tc>
          <w:tcPr>
            <w:tcW w:w="47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Производство и Старт продаж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2 мес.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7-8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CEO</w:t>
            </w:r>
          </w:p>
        </w:tc>
      </w:tr>
      <w:tr>
        <w:trPr/>
        <w:tc>
          <w:tcPr>
            <w:tcW w:w="47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4.1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Сборка пилотной партии (1000 шт.)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3 нед.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7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Фабрика</w:t>
            </w:r>
          </w:p>
        </w:tc>
      </w:tr>
      <w:tr>
        <w:trPr/>
        <w:tc>
          <w:tcPr>
            <w:tcW w:w="47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4.2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Логистика и упаковка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1 нед.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7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Логист</w:t>
            </w:r>
          </w:p>
        </w:tc>
      </w:tr>
      <w:tr>
        <w:trPr/>
        <w:tc>
          <w:tcPr>
            <w:tcW w:w="47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4.3</w:t>
            </w:r>
          </w:p>
        </w:tc>
        <w:tc>
          <w:tcPr>
            <w:tcW w:w="335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Старт продаж и маркетинг</w:t>
            </w:r>
          </w:p>
        </w:tc>
        <w:tc>
          <w:tcPr>
            <w:tcW w:w="1895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Ongoing</w:t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8+</w:t>
            </w:r>
          </w:p>
        </w:tc>
        <w:tc>
          <w:tcPr>
            <w:tcW w:w="21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Маркетолог</w:t>
            </w:r>
          </w:p>
        </w:tc>
      </w:tr>
    </w:tbl>
    <w:p>
      <w:pPr>
        <w:pStyle w:val="Heading3"/>
        <w:spacing w:before="480" w:after="120"/>
        <w:rPr>
          <w:rFonts w:ascii="Times New Roman" w:hAnsi="Times New Roman" w:eastAsia="Times New Roman" w:cs="Times New Roman"/>
          <w:b/>
        </w:rPr>
      </w:pPr>
      <w:r>
        <w:rPr>
          <w:rStyle w:val="Strong"/>
          <w:rFonts w:eastAsia="Times New Roman" w:cs="Times New Roman" w:ascii="Times New Roman" w:hAnsi="Times New Roman"/>
          <w:color w:val="000000"/>
        </w:rPr>
        <w:t>4. ИНВЕСТИЦИОННЫЙ ПЛАН И СМЕТА</w:t>
      </w:r>
    </w:p>
    <w:p>
      <w:pPr>
        <w:pStyle w:val="Heading4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</w:rPr>
        <w:t>4.1. Обоснование объема инвестиций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Проект требует стартовых инвестиций для разработки и производства первой партии.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Запрашиваемая сумма: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125 000 BYN.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Источники: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Собственные средства, гранты (например, ГКНТ, БИФ), частные инвесторы.</w:t>
      </w:r>
    </w:p>
    <w:p>
      <w:pPr>
        <w:pStyle w:val="Heading4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</w:rPr>
        <w:t>4.2. Структура затрат (Смета)</w:t>
      </w:r>
    </w:p>
    <w:tbl>
      <w:tblPr>
        <w:tblW w:w="902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64"/>
        <w:gridCol w:w="1479"/>
        <w:gridCol w:w="3683"/>
      </w:tblGrid>
      <w:tr>
        <w:trPr/>
        <w:tc>
          <w:tcPr>
            <w:tcW w:w="3864" w:type="dxa"/>
            <w:tcBorders/>
            <w:vAlign w:val="center"/>
          </w:tcPr>
          <w:p>
            <w:pPr>
              <w:pStyle w:val="Style13"/>
              <w:widowControl/>
              <w:spacing w:before="480" w:after="12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Статья расходов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Style13"/>
              <w:widowControl/>
              <w:spacing w:before="480" w:after="12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Сумма (BYN)</w:t>
            </w:r>
          </w:p>
        </w:tc>
        <w:tc>
          <w:tcPr>
            <w:tcW w:w="3683" w:type="dxa"/>
            <w:tcBorders/>
            <w:vAlign w:val="center"/>
          </w:tcPr>
          <w:p>
            <w:pPr>
              <w:pStyle w:val="Style13"/>
              <w:widowControl/>
              <w:spacing w:before="480" w:after="12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Комментарий</w:t>
            </w:r>
          </w:p>
        </w:tc>
      </w:tr>
      <w:tr>
        <w:trPr/>
        <w:tc>
          <w:tcPr>
            <w:tcW w:w="3864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1. CAPEX (Капитальные затраты)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60 000</w:t>
            </w:r>
          </w:p>
        </w:tc>
        <w:tc>
          <w:tcPr>
            <w:tcW w:w="3683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4"/>
                <w:szCs w:val="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4"/>
                <w:szCs w:val="4"/>
              </w:rPr>
            </w:r>
          </w:p>
        </w:tc>
      </w:tr>
      <w:tr>
        <w:trPr/>
        <w:tc>
          <w:tcPr>
            <w:tcW w:w="3864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Изготовление пресс-форм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32 000</w:t>
            </w:r>
          </w:p>
        </w:tc>
        <w:tc>
          <w:tcPr>
            <w:tcW w:w="3683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Ресурс 500к циклов</w:t>
            </w:r>
          </w:p>
        </w:tc>
      </w:tr>
      <w:tr>
        <w:trPr/>
        <w:tc>
          <w:tcPr>
            <w:tcW w:w="3864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Оборудование и инструменты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10 000</w:t>
            </w:r>
          </w:p>
        </w:tc>
        <w:tc>
          <w:tcPr>
            <w:tcW w:w="3683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3D-принтер, паяльные станции</w:t>
            </w:r>
          </w:p>
        </w:tc>
      </w:tr>
      <w:tr>
        <w:trPr/>
        <w:tc>
          <w:tcPr>
            <w:tcW w:w="3864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Закупка компонентов (склад)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18 000</w:t>
            </w:r>
          </w:p>
        </w:tc>
        <w:tc>
          <w:tcPr>
            <w:tcW w:w="3683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Чипы, сенсоры</w:t>
            </w:r>
          </w:p>
        </w:tc>
      </w:tr>
      <w:tr>
        <w:trPr/>
        <w:tc>
          <w:tcPr>
            <w:tcW w:w="3864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2. R&amp;D и ФОТ (до запуска)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50 000</w:t>
            </w:r>
          </w:p>
        </w:tc>
        <w:tc>
          <w:tcPr>
            <w:tcW w:w="3683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4"/>
                <w:szCs w:val="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4"/>
                <w:szCs w:val="4"/>
              </w:rPr>
            </w:r>
          </w:p>
        </w:tc>
      </w:tr>
      <w:tr>
        <w:trPr/>
        <w:tc>
          <w:tcPr>
            <w:tcW w:w="3864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ФОТ команды (3-4 мес)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42 000</w:t>
            </w:r>
          </w:p>
        </w:tc>
        <w:tc>
          <w:tcPr>
            <w:tcW w:w="3683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Разработчики (частичная занятость)</w:t>
            </w:r>
          </w:p>
        </w:tc>
      </w:tr>
      <w:tr>
        <w:trPr/>
        <w:tc>
          <w:tcPr>
            <w:tcW w:w="3864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Аутсорс дизайна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8 000</w:t>
            </w:r>
          </w:p>
        </w:tc>
        <w:tc>
          <w:tcPr>
            <w:tcW w:w="3683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Упаковка, рендеры</w:t>
            </w:r>
          </w:p>
        </w:tc>
      </w:tr>
      <w:tr>
        <w:trPr/>
        <w:tc>
          <w:tcPr>
            <w:tcW w:w="3864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3. Маркетинг и Административные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15 000</w:t>
            </w:r>
          </w:p>
        </w:tc>
        <w:tc>
          <w:tcPr>
            <w:tcW w:w="3683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4"/>
                <w:szCs w:val="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4"/>
                <w:szCs w:val="4"/>
              </w:rPr>
            </w:r>
          </w:p>
        </w:tc>
      </w:tr>
      <w:tr>
        <w:trPr/>
        <w:tc>
          <w:tcPr>
            <w:tcW w:w="3864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Юридические расходы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4 000</w:t>
            </w:r>
          </w:p>
        </w:tc>
        <w:tc>
          <w:tcPr>
            <w:tcW w:w="3683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Регистрация, сертификация</w:t>
            </w:r>
          </w:p>
        </w:tc>
      </w:tr>
      <w:tr>
        <w:trPr/>
        <w:tc>
          <w:tcPr>
            <w:tcW w:w="3864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Маркетинг на старте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11 000</w:t>
            </w:r>
          </w:p>
        </w:tc>
        <w:tc>
          <w:tcPr>
            <w:tcW w:w="3683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Реклама, блогеры</w:t>
            </w:r>
          </w:p>
        </w:tc>
      </w:tr>
      <w:tr>
        <w:trPr/>
        <w:tc>
          <w:tcPr>
            <w:tcW w:w="3864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ИТОГО</w:t>
            </w:r>
          </w:p>
        </w:tc>
        <w:tc>
          <w:tcPr>
            <w:tcW w:w="147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125 000</w:t>
            </w:r>
          </w:p>
        </w:tc>
        <w:tc>
          <w:tcPr>
            <w:tcW w:w="3683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4"/>
                <w:szCs w:val="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4"/>
                <w:szCs w:val="4"/>
              </w:rPr>
            </w:r>
          </w:p>
        </w:tc>
      </w:tr>
    </w:tbl>
    <w:p>
      <w:pPr>
        <w:pStyle w:val="Heading3"/>
        <w:spacing w:before="480" w:after="120"/>
        <w:rPr>
          <w:rFonts w:ascii="Times New Roman" w:hAnsi="Times New Roman" w:eastAsia="Times New Roman" w:cs="Times New Roman"/>
          <w:b/>
        </w:rPr>
      </w:pPr>
      <w:r>
        <w:rPr>
          <w:rStyle w:val="Strong"/>
          <w:rFonts w:eastAsia="Times New Roman" w:cs="Times New Roman" w:ascii="Times New Roman" w:hAnsi="Times New Roman"/>
          <w:color w:val="000000"/>
        </w:rPr>
        <w:t>5. КОМАНДА И УПРАВЛЕНИЕ ПЕРСОНАЛОМ</w:t>
      </w:r>
    </w:p>
    <w:p>
      <w:pPr>
        <w:pStyle w:val="Heading4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</w:rPr>
        <w:t>5.1. Организационная структура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Команда формируется из студентов и выпускников БГУ.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CEO: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Управление, финансы.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CTO: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Аппаратная часть, производство.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Lead Developer: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Программный код.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CMO: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Маркетинг.</w:t>
      </w:r>
    </w:p>
    <w:p>
      <w:pPr>
        <w:pStyle w:val="Heading4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</w:rPr>
        <w:t>5.2. Матрица компетенций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Недостающие компетенции (ВЭД, Сертификация) закрываются привлечением внешних консультантов или аутсорсинговых компаний на территории РБ.</w:t>
      </w:r>
    </w:p>
    <w:p>
      <w:pPr>
        <w:pStyle w:val="Heading3"/>
        <w:spacing w:before="480" w:after="120"/>
        <w:rPr>
          <w:rFonts w:ascii="Times New Roman" w:hAnsi="Times New Roman" w:eastAsia="Times New Roman" w:cs="Times New Roman"/>
          <w:b/>
        </w:rPr>
      </w:pPr>
      <w:r>
        <w:rPr>
          <w:rStyle w:val="Strong"/>
          <w:rFonts w:eastAsia="Times New Roman" w:cs="Times New Roman" w:ascii="Times New Roman" w:hAnsi="Times New Roman"/>
          <w:color w:val="000000"/>
        </w:rPr>
        <w:t>6. МАРКЕТИНГОВЫЙ И ЭКОНОМИЧЕСКИЙ АНАЛИЗ</w:t>
      </w:r>
    </w:p>
    <w:p>
      <w:pPr>
        <w:pStyle w:val="Heading4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</w:rPr>
        <w:t>6.1. Сравнительный анализ конкурентов</w:t>
      </w:r>
    </w:p>
    <w:tbl>
      <w:tblPr>
        <w:tblW w:w="902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6"/>
        <w:gridCol w:w="1481"/>
        <w:gridCol w:w="1674"/>
        <w:gridCol w:w="1698"/>
        <w:gridCol w:w="1757"/>
      </w:tblGrid>
      <w:tr>
        <w:trPr/>
        <w:tc>
          <w:tcPr>
            <w:tcW w:w="2416" w:type="dxa"/>
            <w:tcBorders/>
            <w:vAlign w:val="center"/>
          </w:tcPr>
          <w:p>
            <w:pPr>
              <w:pStyle w:val="Style13"/>
              <w:widowControl/>
              <w:spacing w:before="480" w:after="12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Характеристика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Style13"/>
              <w:widowControl/>
              <w:spacing w:before="480" w:after="120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SecureTag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3"/>
              <w:widowControl/>
              <w:spacing w:before="480" w:after="12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Apple AirTag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3"/>
              <w:widowControl/>
              <w:spacing w:before="480" w:after="12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Samsung SmartTag2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Style13"/>
              <w:widowControl/>
              <w:spacing w:before="480" w:after="12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Китайский аналог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Розничная цена, BYN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~69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~140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~120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~20-30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Биометрия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Да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Нет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Защита от выключения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Высокая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Низкая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Средняя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Низкая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Совместимость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iOS + Android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Только iOS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Преим. Samsung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Разная</w:t>
            </w:r>
          </w:p>
        </w:tc>
      </w:tr>
      <w:tr>
        <w:trPr/>
        <w:tc>
          <w:tcPr>
            <w:tcW w:w="2416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Доступность в РБ</w:t>
            </w:r>
          </w:p>
        </w:tc>
        <w:tc>
          <w:tcPr>
            <w:tcW w:w="1481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Высокая</w:t>
            </w:r>
          </w:p>
        </w:tc>
        <w:tc>
          <w:tcPr>
            <w:tcW w:w="1674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Ограничена</w:t>
            </w:r>
          </w:p>
        </w:tc>
        <w:tc>
          <w:tcPr>
            <w:tcW w:w="1698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Средняя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Высокая</w:t>
            </w:r>
          </w:p>
        </w:tc>
      </w:tr>
    </w:tbl>
    <w:p>
      <w:pPr>
        <w:pStyle w:val="Heading4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</w:rPr>
        <w:t>6.2. SWOT-анализ проекта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Strengths: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Уникальность (биометрия), цена ниже А-брендов, локальная поддержка.</w:t>
        <w:br/>
      </w:r>
      <w:r>
        <w:rPr>
          <w:rStyle w:val="Strong"/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Weaknesses: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Отсутствие бренда, зависимость от импорта компонентов.</w:t>
        <w:br/>
      </w:r>
      <w:r>
        <w:rPr>
          <w:rStyle w:val="Strong"/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Opportunities: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Партнерство с ритейлом (5 элемент, Электросила), выход на рынок ЕАЭС. </w:t>
        <w:br/>
      </w:r>
      <w:r>
        <w:rPr>
          <w:rStyle w:val="Strong"/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Threats: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Появление аналогов у гигантов, логистические сбои.</w:t>
      </w:r>
    </w:p>
    <w:p>
      <w:pPr>
        <w:pStyle w:val="Heading4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</w:rPr>
        <w:t>6.3. Маркетинговая стратегия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Каналы сбыта: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Маркетплейсы: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Wildberries, Ozon (охват всей страны).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Онлайн-каталоги: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Onliner.by (Каталог), Shop.by, 21vek.by.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Офлайн: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Точки продаж аксессуаров, островки в ТЦ Минска.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Продвижение: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Обзоры на Tech-порталах (Onliner Технологии, 4PDA), сотрудничество с белорусскими техно-блогерами.</w:t>
      </w:r>
    </w:p>
    <w:p>
      <w:pPr>
        <w:pStyle w:val="Heading4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</w:rPr>
        <w:t>6.4. Финансовая модель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Unit-экономика (расчет на 1 ед.):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Цена продажи: 69 BYN.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Комиссия площадки и налоги: -14 BYN.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Логистика: -4 BYN.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Себестоимость (BOM+Сборка): -30 BYN.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Маржинальная прибыль: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~21 BYN (30%).</w:t>
      </w:r>
    </w:p>
    <w:p>
      <w:pPr>
        <w:pStyle w:val="BodyText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Прогноз (накопительным итогом):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Точка безубыточности: Продажа ~2 500 устройств.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480" w:after="120"/>
        <w:ind w:hanging="283" w:left="709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Срок окупаемости: 14 месяцев.</w:t>
      </w:r>
    </w:p>
    <w:p>
      <w:pPr>
        <w:pStyle w:val="Heading3"/>
        <w:spacing w:before="480" w:after="120"/>
        <w:rPr>
          <w:rFonts w:ascii="Times New Roman" w:hAnsi="Times New Roman" w:eastAsia="Times New Roman" w:cs="Times New Roman"/>
          <w:b/>
        </w:rPr>
      </w:pPr>
      <w:r>
        <w:rPr>
          <w:rStyle w:val="Strong"/>
          <w:rFonts w:eastAsia="Times New Roman" w:cs="Times New Roman" w:ascii="Times New Roman" w:hAnsi="Times New Roman"/>
          <w:color w:val="000000"/>
        </w:rPr>
        <w:t>7. АНАЛИЗ РИСКОВ</w:t>
      </w:r>
    </w:p>
    <w:p>
      <w:pPr>
        <w:pStyle w:val="Heading4"/>
        <w:spacing w:before="48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color w:val="000000"/>
          <w:sz w:val="28"/>
          <w:szCs w:val="28"/>
        </w:rPr>
        <w:t>7.1. Реестр рисков</w:t>
      </w:r>
    </w:p>
    <w:tbl>
      <w:tblPr>
        <w:tblW w:w="902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27"/>
        <w:gridCol w:w="1712"/>
        <w:gridCol w:w="1259"/>
        <w:gridCol w:w="3128"/>
      </w:tblGrid>
      <w:tr>
        <w:trPr/>
        <w:tc>
          <w:tcPr>
            <w:tcW w:w="2927" w:type="dxa"/>
            <w:tcBorders/>
            <w:vAlign w:val="center"/>
          </w:tcPr>
          <w:p>
            <w:pPr>
              <w:pStyle w:val="Style13"/>
              <w:widowControl/>
              <w:spacing w:before="480" w:after="12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Риск</w:t>
            </w:r>
          </w:p>
        </w:tc>
        <w:tc>
          <w:tcPr>
            <w:tcW w:w="1712" w:type="dxa"/>
            <w:tcBorders/>
            <w:vAlign w:val="center"/>
          </w:tcPr>
          <w:p>
            <w:pPr>
              <w:pStyle w:val="Style13"/>
              <w:widowControl/>
              <w:spacing w:before="480" w:after="12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Вероятность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Style13"/>
              <w:widowControl/>
              <w:spacing w:before="480" w:after="12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Ущерб</w:t>
            </w:r>
          </w:p>
        </w:tc>
        <w:tc>
          <w:tcPr>
            <w:tcW w:w="3128" w:type="dxa"/>
            <w:tcBorders/>
            <w:vAlign w:val="center"/>
          </w:tcPr>
          <w:p>
            <w:pPr>
              <w:pStyle w:val="Style13"/>
              <w:widowControl/>
              <w:spacing w:before="480" w:after="120"/>
              <w:jc w:val="left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Мероприятия по снижению</w:t>
            </w:r>
          </w:p>
        </w:tc>
      </w:tr>
      <w:tr>
        <w:trPr/>
        <w:tc>
          <w:tcPr>
            <w:tcW w:w="2927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Технологический: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 xml:space="preserve"> Сбои сканера на холоде</w:t>
            </w:r>
          </w:p>
        </w:tc>
        <w:tc>
          <w:tcPr>
            <w:tcW w:w="1712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Средняя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Высокий</w:t>
            </w:r>
          </w:p>
        </w:tc>
        <w:tc>
          <w:tcPr>
            <w:tcW w:w="3128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Тесты в климатической камере, выбор индустриальных компонентов.</w:t>
            </w:r>
          </w:p>
        </w:tc>
      </w:tr>
      <w:tr>
        <w:trPr/>
        <w:tc>
          <w:tcPr>
            <w:tcW w:w="2927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Логистический: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 xml:space="preserve"> Задержка чипов</w:t>
            </w:r>
          </w:p>
        </w:tc>
        <w:tc>
          <w:tcPr>
            <w:tcW w:w="1712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Высокая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Высокий</w:t>
            </w:r>
          </w:p>
        </w:tc>
        <w:tc>
          <w:tcPr>
            <w:tcW w:w="3128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Складской запас, альтернативные поставщики в Китае.</w:t>
            </w:r>
          </w:p>
        </w:tc>
      </w:tr>
      <w:tr>
        <w:trPr/>
        <w:tc>
          <w:tcPr>
            <w:tcW w:w="2927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Регуляторный: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 xml:space="preserve"> Проблемы с ввозом криптографии</w:t>
            </w:r>
          </w:p>
        </w:tc>
        <w:tc>
          <w:tcPr>
            <w:tcW w:w="1712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Низкая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Средний</w:t>
            </w:r>
          </w:p>
        </w:tc>
        <w:tc>
          <w:tcPr>
            <w:tcW w:w="3128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Консультации с ОАЦ / БелГИЭ по вопросам лицензирования.</w:t>
            </w:r>
          </w:p>
        </w:tc>
      </w:tr>
      <w:tr>
        <w:trPr/>
        <w:tc>
          <w:tcPr>
            <w:tcW w:w="2927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Style w:val="Strong"/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Конкурентный: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 xml:space="preserve"> Демпинг</w:t>
            </w:r>
          </w:p>
        </w:tc>
        <w:tc>
          <w:tcPr>
            <w:tcW w:w="1712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Высокая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Средний</w:t>
            </w:r>
          </w:p>
        </w:tc>
        <w:tc>
          <w:tcPr>
            <w:tcW w:w="3128" w:type="dxa"/>
            <w:tcBorders/>
            <w:vAlign w:val="center"/>
          </w:tcPr>
          <w:p>
            <w:pPr>
              <w:pStyle w:val="Style12"/>
              <w:widowControl/>
              <w:spacing w:before="480" w:after="120"/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8"/>
                <w:szCs w:val="28"/>
              </w:rPr>
              <w:t>Упор на качество ПО и гарантию.</w:t>
            </w:r>
          </w:p>
        </w:tc>
      </w:tr>
    </w:tbl>
    <w:p>
      <w:pPr>
        <w:pStyle w:val="Heading3"/>
        <w:spacing w:before="480" w:after="120"/>
        <w:rPr>
          <w:rStyle w:val="Strong"/>
          <w:color w:val="000000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BY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BY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02305"/>
    <w:rPr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502305"/>
    <w:rPr>
      <w:sz w:val="32"/>
      <w:szCs w:val="32"/>
    </w:rPr>
  </w:style>
  <w:style w:type="character" w:styleId="Strong">
    <w:name w:val="Strong"/>
    <w:basedOn w:val="DefaultParagraphFont"/>
    <w:uiPriority w:val="22"/>
    <w:qFormat/>
    <w:rsid w:val="00bd2ce0"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8">
    <w:name w:val="Символ нумерации"/>
    <w:qFormat/>
    <w:rPr/>
  </w:style>
  <w:style w:type="character" w:styleId="Style9">
    <w:name w:val="Маркеры"/>
    <w:qFormat/>
    <w:rPr>
      <w:rFonts w:ascii="OpenSymbol" w:hAnsi="OpenSymbol" w:eastAsia="OpenSymbol" w:cs="OpenSymbol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bd2ce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BY"/>
    </w:rPr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LibreOffice/25.2.6.2$Linux_X86_64 LibreOffice_project/520$Build-2</Application>
  <AppVersion>15.0000</AppVersion>
  <Pages>11</Pages>
  <Words>996</Words>
  <Characters>6610</Characters>
  <CharactersWithSpaces>7342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2025-09-21T18:51:00Z</dcterms:created>
  <dc:creator>Gest Anna</dc:creator>
  <dc:description/>
  <dc:language>ru-RU</dc:language>
  <cp:lastModifiedBy/>
  <dcterms:modified xsi:type="dcterms:W3CDTF">2025-11-23T00:36:46Z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