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374" w:rsidRDefault="00373A94">
      <w:r>
        <w:t>Zadanie:</w:t>
      </w:r>
    </w:p>
    <w:p w:rsidR="00373A94" w:rsidRDefault="00373A94">
      <w:r>
        <w:t xml:space="preserve">Przestudiuj rozwiązanie tłumionego oscylatora harmonicznego z wymuszeniem </w:t>
      </w:r>
    </w:p>
    <w:p w:rsidR="00373A94" w:rsidRDefault="00373A94" w:rsidP="00373A94">
      <w:r w:rsidRPr="006933EB">
        <w:rPr>
          <w:noProof/>
        </w:rPr>
        <w:drawing>
          <wp:inline distT="0" distB="0" distL="0" distR="0" wp14:anchorId="60DB6CE3" wp14:editId="5CED2D56">
            <wp:extent cx="5207318" cy="34575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307" cy="34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94" w:rsidRDefault="00373A94" w:rsidP="00373A94">
      <w:r>
        <w:t xml:space="preserve">Przestudiuj rozwiązanie tłumionego oscylatora harmonicznego z wymuszeniem </w:t>
      </w:r>
    </w:p>
    <w:p w:rsidR="00373A94" w:rsidRPr="00373A94" w:rsidRDefault="00373A94" w:rsidP="00373A94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8"/>
            </w:rPr>
            <m:t>+</m:t>
          </m:r>
          <m:r>
            <w:rPr>
              <w:rFonts w:ascii="Cambria Math" w:eastAsiaTheme="minorEastAsia" w:hAnsi="Cambria Math"/>
              <w:sz w:val="28"/>
            </w:rPr>
            <m:t>c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8"/>
            </w:rPr>
            <m:t>+</m:t>
          </m:r>
          <m:r>
            <w:rPr>
              <w:rFonts w:ascii="Cambria Math" w:eastAsiaTheme="minorEastAsia" w:hAnsi="Cambria Math"/>
              <w:sz w:val="28"/>
            </w:rPr>
            <m:t>kx</m:t>
          </m:r>
          <m:r>
            <w:rPr>
              <w:rFonts w:ascii="Cambria Math" w:eastAsiaTheme="minorEastAsia" w:hAnsi="Cambria Math"/>
              <w:sz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e>
          </m:d>
        </m:oMath>
      </m:oMathPara>
    </w:p>
    <w:p w:rsidR="00373A94" w:rsidRPr="00373A94" w:rsidRDefault="00373A94" w:rsidP="00373A94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</w:rPr>
            <m:t>=A*</m:t>
          </m:r>
          <m:func>
            <m:funcPr>
              <m:ctrlPr>
                <w:rPr>
                  <w:rFonts w:ascii="Cambria Math" w:eastAsiaTheme="minorEastAsia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Name>
            <m:e>
              <m:r>
                <w:rPr>
                  <w:rFonts w:ascii="Cambria Math" w:eastAsiaTheme="minorEastAsia" w:hAnsi="Cambria Math"/>
                  <w:sz w:val="28"/>
                </w:rPr>
                <m:t>(ωt)</m:t>
              </m:r>
            </m:e>
          </m:func>
        </m:oMath>
      </m:oMathPara>
    </w:p>
    <w:p w:rsidR="00373A94" w:rsidRPr="00373A94" w:rsidRDefault="00373A94" w:rsidP="00373A9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Dla różnych warunków tłumienia. Brak tłumienia, tłumienie podkrytyczne, krytyczne, nadkrytyczne. </w:t>
      </w:r>
      <w:bookmarkStart w:id="0" w:name="_GoBack"/>
      <w:bookmarkEnd w:id="0"/>
    </w:p>
    <w:p w:rsidR="00373A94" w:rsidRPr="00373A94" w:rsidRDefault="00373A94" w:rsidP="00373A94">
      <w:pPr>
        <w:rPr>
          <w:rFonts w:eastAsiaTheme="minorEastAsia"/>
          <w:sz w:val="28"/>
        </w:rPr>
      </w:pPr>
    </w:p>
    <w:p w:rsidR="00373A94" w:rsidRPr="00373A94" w:rsidRDefault="00373A94" w:rsidP="00373A94">
      <w:pPr>
        <w:rPr>
          <w:rFonts w:eastAsiaTheme="minorEastAsia"/>
          <w:sz w:val="28"/>
        </w:rPr>
      </w:pPr>
    </w:p>
    <w:p w:rsidR="00373A94" w:rsidRDefault="00373A94"/>
    <w:sectPr w:rsidR="00373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94"/>
    <w:rsid w:val="00275374"/>
    <w:rsid w:val="00373A94"/>
    <w:rsid w:val="00463847"/>
    <w:rsid w:val="005244F9"/>
    <w:rsid w:val="006E18F9"/>
    <w:rsid w:val="006E23A0"/>
    <w:rsid w:val="0078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E7A0A"/>
  <w15:chartTrackingRefBased/>
  <w15:docId w15:val="{023DFA49-E2EB-4CD3-B23D-294AA905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Dziendzikowski</dc:creator>
  <cp:keywords/>
  <dc:description/>
  <cp:lastModifiedBy>Michał Dziendzikowski</cp:lastModifiedBy>
  <cp:revision>1</cp:revision>
  <dcterms:created xsi:type="dcterms:W3CDTF">2025-05-15T15:51:00Z</dcterms:created>
  <dcterms:modified xsi:type="dcterms:W3CDTF">2025-05-15T15:53:00Z</dcterms:modified>
</cp:coreProperties>
</file>