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color w:val="888888"/>
          <w:sz w:val="18"/>
          <w:szCs w:val="18"/>
        </w:rPr>
        <w:t xml:space="preserve">[ COMPANY LOGO ]</w:t>
      </w:r>
    </w:p>
    <w:p>
      <w:pPr>
        <w:spacing w:after="0" w:before="500"/>
        <w:jc w:val="center"/>
      </w:pPr>
      <w:r>
        <w:rPr>
          <w:rFonts w:ascii="Calibri" w:cs="Calibri" w:eastAsia="Calibri" w:hAnsi="Calibri"/>
          <w:b/>
          <w:bCs/>
          <w:color w:val="222222"/>
          <w:sz w:val="44"/>
          <w:szCs w:val="44"/>
        </w:rPr>
        <w:t xml:space="preserve">Customized Manufacturing ERP</w:t>
      </w:r>
    </w:p>
    <w:p>
      <w:pPr>
        <w:spacing w:after="200" w:before="60"/>
        <w:jc w:val="center"/>
      </w:pPr>
      <w:r>
        <w:rPr>
          <w:rFonts w:ascii="Calibri" w:cs="Calibri" w:eastAsia="Calibri" w:hAnsi="Calibri"/>
          <w:i/>
          <w:iCs/>
          <w:color w:val="172A6C"/>
          <w:sz w:val="30"/>
          <w:szCs w:val="30"/>
        </w:rPr>
        <w:t xml:space="preserve">Software Design, Development &amp; Implementation</w:t>
      </w:r>
    </w:p>
    <w:p>
      <w:pPr>
        <w:spacing w:after="500"/>
        <w:jc w:val="center"/>
      </w:pPr>
      <w:r>
        <w:rPr>
          <w:rFonts w:ascii="Calibri" w:cs="Calibri" w:eastAsia="Calibri" w:hAnsi="Calibri"/>
          <w:b/>
          <w:bCs/>
          <w:color w:val="EA6B23"/>
          <w:spacing w:val="20"/>
          <w:sz w:val="18"/>
          <w:szCs w:val="18"/>
        </w:rPr>
        <w:t xml:space="preserve">MANUFACTURING  •  INVENTORY  •  PRODUCTION  •  HR &amp; PAYROLL</w:t>
      </w:r>
    </w:p>
    <w:p>
      <w:pPr>
        <w:pBdr>
          <w:top w:val="single" w:color="D9D9D9" w:sz="4"/>
        </w:pBdr>
        <w:spacing w:after="200"/>
      </w:pPr>
    </w:p>
    <w:tbl>
      <w:tblPr>
        <w:tblW w:type="pct" w:w="100%"/>
        <w:tblBorders>
          <w:top w:val="none"/>
          <w:left w:val="none"/>
          <w:bottom w:val="none"/>
          <w:right w:val="none"/>
          <w:insideH w:val="none"/>
          <w:insideV w:val="none"/>
        </w:tblBorders>
      </w:tblPr>
      <w:tblGrid>
        <w:gridCol w:w="100"/>
        <w:gridCol w:w="100"/>
      </w:tblGrid>
      <w:tr>
        <w:tc>
          <w:tcPr>
            <w:tcW w:type="pct" w:w="50%"/>
            <w:tcMar>
              <w:top w:type="dxa" w:w="60"/>
              <w:left w:type="dxa" w:w="60"/>
              <w:bottom w:type="dxa" w:w="60"/>
              <w:right w:type="dxa" w:w="60"/>
            </w:tcMar>
          </w:tcPr>
          <w:p>
            <w:pPr>
              <w:spacing w:after="20"/>
            </w:pPr>
            <w:r>
              <w:rPr>
                <w:rFonts w:ascii="Calibri" w:cs="Calibri" w:eastAsia="Calibri" w:hAnsi="Calibri"/>
                <w:b/>
                <w:bCs/>
                <w:color w:val="EA6B23"/>
                <w:spacing w:val="15"/>
                <w:sz w:val="14"/>
                <w:szCs w:val="14"/>
              </w:rPr>
              <w:t xml:space="preserve">PREPARED FOR</w:t>
            </w:r>
          </w:p>
          <w:p>
            <w:r>
              <w:rPr>
                <w:rFonts w:ascii="Calibri" w:cs="Calibri" w:eastAsia="Calibri" w:hAnsi="Calibri"/>
                <w:i/>
                <w:iCs/>
                <w:color w:val="9A6B2E"/>
                <w:sz w:val="21"/>
                <w:szCs w:val="21"/>
              </w:rPr>
              <w:t xml:space="preserve">[Client Company Name]</w:t>
            </w:r>
          </w:p>
        </w:tc>
        <w:tc>
          <w:tcPr>
            <w:tcW w:type="pct" w:w="50%"/>
            <w:tcMar>
              <w:top w:type="dxa" w:w="60"/>
              <w:left w:type="dxa" w:w="60"/>
              <w:bottom w:type="dxa" w:w="60"/>
              <w:right w:type="dxa" w:w="60"/>
            </w:tcMar>
          </w:tcPr>
          <w:p>
            <w:pPr>
              <w:spacing w:after="20"/>
            </w:pPr>
            <w:r>
              <w:rPr>
                <w:rFonts w:ascii="Calibri" w:cs="Calibri" w:eastAsia="Calibri" w:hAnsi="Calibri"/>
                <w:b/>
                <w:bCs/>
                <w:color w:val="EA6B23"/>
                <w:spacing w:val="15"/>
                <w:sz w:val="14"/>
                <w:szCs w:val="14"/>
              </w:rPr>
              <w:t xml:space="preserve">CONTACT</w:t>
            </w:r>
          </w:p>
          <w:p>
            <w:r>
              <w:rPr>
                <w:rFonts w:ascii="Calibri" w:cs="Calibri" w:eastAsia="Calibri" w:hAnsi="Calibri"/>
                <w:i/>
                <w:iCs/>
                <w:color w:val="9A6B2E"/>
                <w:sz w:val="21"/>
                <w:szCs w:val="21"/>
              </w:rPr>
              <w:t xml:space="preserve">[Client Contact Person]</w:t>
            </w:r>
          </w:p>
        </w:tc>
      </w:tr>
    </w:tbl>
    <w:tbl>
      <w:tblPr>
        <w:tblW w:type="pct" w:w="100%"/>
        <w:tblBorders>
          <w:top w:val="none"/>
          <w:left w:val="none"/>
          <w:bottom w:val="none"/>
          <w:right w:val="none"/>
          <w:insideH w:val="none"/>
          <w:insideV w:val="none"/>
        </w:tblBorders>
      </w:tblPr>
      <w:tblGrid>
        <w:gridCol w:w="100"/>
        <w:gridCol w:w="100"/>
        <w:gridCol w:w="100"/>
      </w:tblGrid>
      <w:tr>
        <w:tc>
          <w:tcPr>
            <w:tcW w:type="pct" w:w="33.333333333333336%"/>
            <w:tcMar>
              <w:top w:type="dxa" w:w="60"/>
              <w:left w:type="dxa" w:w="60"/>
              <w:bottom w:type="dxa" w:w="60"/>
              <w:right w:type="dxa" w:w="60"/>
            </w:tcMar>
          </w:tcPr>
          <w:p>
            <w:pPr>
              <w:spacing w:after="20"/>
            </w:pPr>
            <w:r>
              <w:rPr>
                <w:rFonts w:ascii="Calibri" w:cs="Calibri" w:eastAsia="Calibri" w:hAnsi="Calibri"/>
                <w:b/>
                <w:bCs/>
                <w:color w:val="EA6B23"/>
                <w:spacing w:val="15"/>
                <w:sz w:val="14"/>
                <w:szCs w:val="14"/>
              </w:rPr>
              <w:t xml:space="preserve">QUOTATION NO.</w:t>
            </w:r>
          </w:p>
          <w:p>
            <w:r>
              <w:rPr>
                <w:rFonts w:ascii="Calibri" w:cs="Calibri" w:eastAsia="Calibri" w:hAnsi="Calibri"/>
                <w:i/>
                <w:iCs/>
                <w:color w:val="9A6B2E"/>
                <w:sz w:val="21"/>
                <w:szCs w:val="21"/>
              </w:rPr>
              <w:t xml:space="preserve">[QT-YYYYMMDD-A]</w:t>
            </w:r>
          </w:p>
        </w:tc>
        <w:tc>
          <w:tcPr>
            <w:tcW w:type="pct" w:w="33.333333333333336%"/>
            <w:tcMar>
              <w:top w:type="dxa" w:w="60"/>
              <w:left w:type="dxa" w:w="60"/>
              <w:bottom w:type="dxa" w:w="60"/>
              <w:right w:type="dxa" w:w="60"/>
            </w:tcMar>
          </w:tcPr>
          <w:p>
            <w:pPr>
              <w:spacing w:after="20"/>
            </w:pPr>
            <w:r>
              <w:rPr>
                <w:rFonts w:ascii="Calibri" w:cs="Calibri" w:eastAsia="Calibri" w:hAnsi="Calibri"/>
                <w:b/>
                <w:bCs/>
                <w:color w:val="EA6B23"/>
                <w:spacing w:val="15"/>
                <w:sz w:val="14"/>
                <w:szCs w:val="14"/>
              </w:rPr>
              <w:t xml:space="preserve">DATE</w:t>
            </w:r>
          </w:p>
          <w:p>
            <w:r>
              <w:rPr>
                <w:rFonts w:ascii="Calibri" w:cs="Calibri" w:eastAsia="Calibri" w:hAnsi="Calibri"/>
                <w:i/>
                <w:iCs/>
                <w:color w:val="9A6B2E"/>
                <w:sz w:val="21"/>
                <w:szCs w:val="21"/>
              </w:rPr>
              <w:t xml:space="preserve">[Quotation Date]</w:t>
            </w:r>
          </w:p>
        </w:tc>
        <w:tc>
          <w:tcPr>
            <w:tcW w:type="pct" w:w="33.333333333333336%"/>
            <w:tcMar>
              <w:top w:type="dxa" w:w="60"/>
              <w:left w:type="dxa" w:w="60"/>
              <w:bottom w:type="dxa" w:w="60"/>
              <w:right w:type="dxa" w:w="60"/>
            </w:tcMar>
          </w:tcPr>
          <w:p>
            <w:pPr>
              <w:spacing w:after="20"/>
            </w:pPr>
            <w:r>
              <w:rPr>
                <w:rFonts w:ascii="Calibri" w:cs="Calibri" w:eastAsia="Calibri" w:hAnsi="Calibri"/>
                <w:b/>
                <w:bCs/>
                <w:color w:val="EA6B23"/>
                <w:spacing w:val="15"/>
                <w:sz w:val="14"/>
                <w:szCs w:val="14"/>
              </w:rPr>
              <w:t xml:space="preserve">VALID UNTIL</w:t>
            </w:r>
          </w:p>
          <w:p>
            <w:r>
              <w:rPr>
                <w:rFonts w:ascii="Calibri" w:cs="Calibri" w:eastAsia="Calibri" w:hAnsi="Calibri"/>
                <w:i/>
                <w:iCs/>
                <w:color w:val="9A6B2E"/>
                <w:sz w:val="21"/>
                <w:szCs w:val="21"/>
              </w:rPr>
              <w:t xml:space="preserve">[Validity Date]</w:t>
            </w:r>
          </w:p>
        </w:tc>
      </w:tr>
    </w:tbl>
    <w:p>
      <w:pPr>
        <w:spacing w:before="500"/>
      </w:pPr>
    </w:p>
    <w:p>
      <w:pPr>
        <w:spacing w:after="40" w:before="200"/>
      </w:pPr>
      <w:r>
        <w:rPr>
          <w:rFonts w:ascii="Calibri" w:cs="Calibri" w:eastAsia="Calibri" w:hAnsi="Calibri"/>
          <w:b/>
          <w:bCs/>
          <w:color w:val="EA6B23"/>
          <w:spacing w:val="20"/>
          <w:sz w:val="16"/>
          <w:szCs w:val="16"/>
        </w:rPr>
        <w:t xml:space="preserve">BUSINESS OBJECTIVE</w:t>
      </w:r>
    </w:p>
    <w:p>
      <w:pPr>
        <w:spacing w:after="160"/>
      </w:pPr>
      <w:r>
        <w:rPr>
          <w:rFonts w:ascii="Calibri" w:cs="Calibri" w:eastAsia="Calibri" w:hAnsi="Calibri"/>
          <w:i/>
          <w:iCs/>
          <w:color w:val="222222"/>
          <w:sz w:val="21"/>
          <w:szCs w:val="21"/>
        </w:rPr>
        <w:t xml:space="preserve">[One to two sentences on the client's business, plant/operations, and the core problem this ERP solves for them — replace scattered spreadsheets, disconnected tracking, lack of real-time visibility, etc.]</w:t>
      </w:r>
    </w:p>
    <w:p>
      <w:pPr>
        <w:spacing w:after="40" w:before="200"/>
      </w:pPr>
      <w:r>
        <w:rPr>
          <w:rFonts w:ascii="Calibri" w:cs="Calibri" w:eastAsia="Calibri" w:hAnsi="Calibri"/>
          <w:b/>
          <w:bCs/>
          <w:color w:val="EA6B23"/>
          <w:spacing w:val="20"/>
          <w:sz w:val="16"/>
          <w:szCs w:val="16"/>
        </w:rPr>
        <w:t xml:space="preserve">PROPOSED SOLUTION</w:t>
      </w:r>
    </w:p>
    <w:p>
      <w:pPr>
        <w:spacing w:after="160"/>
      </w:pPr>
      <w:r>
        <w:rPr>
          <w:rFonts w:ascii="Calibri" w:cs="Calibri" w:eastAsia="Calibri" w:hAnsi="Calibri"/>
          <w:i/>
          <w:iCs/>
          <w:color w:val="222222"/>
          <w:sz w:val="21"/>
          <w:szCs w:val="21"/>
        </w:rPr>
        <w:t xml:space="preserve">[One to two sentences on the proposed system — a fully customized ERP built around the client's actual workflow, covering procurement through production, dispatch, and payroll, so every department works off one live, accurate source of truth.]</w:t>
      </w:r>
    </w:p>
    <w:p>
      <w:pPr>
        <w:sectPr>
          <w:headerReference w:type="default" r:id="rId7"/>
          <w:footerReference w:type="default" r:id="rId8"/>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01  </w:t>
      </w:r>
      <w:r>
        <w:rPr>
          <w:rFonts w:ascii="Calibri" w:cs="Calibri" w:eastAsia="Calibri" w:hAnsi="Calibri"/>
          <w:b/>
          <w:bCs/>
          <w:color w:val="172A6C"/>
          <w:sz w:val="30"/>
          <w:szCs w:val="30"/>
        </w:rPr>
        <w:t xml:space="preserve">Project Overview</w:t>
      </w:r>
    </w:p>
    <w:p>
      <w:pPr>
        <w:spacing w:after="160"/>
      </w:pPr>
      <w:r>
        <w:rPr>
          <w:rFonts w:ascii="Calibri" w:cs="Calibri" w:eastAsia="Calibri" w:hAnsi="Calibri"/>
          <w:i/>
          <w:iCs/>
          <w:color w:val="222222"/>
          <w:sz w:val="21"/>
          <w:szCs w:val="21"/>
        </w:rPr>
        <w:t xml:space="preserve">[1–2 sentence restatement of the client's need, in their own words where possible — proves we listened.]</w:t>
      </w:r>
    </w:p>
    <w:p>
      <w:pPr>
        <w:spacing w:after="80" w:before="160"/>
      </w:pPr>
      <w:r>
        <w:rPr>
          <w:rFonts w:ascii="Calibri" w:cs="Calibri" w:eastAsia="Calibri" w:hAnsi="Calibri"/>
          <w:b/>
          <w:bCs/>
          <w:color w:val="172A6C"/>
          <w:sz w:val="22"/>
          <w:szCs w:val="22"/>
        </w:rPr>
        <w:t xml:space="preserve">Module Flow</w:t>
      </w:r>
    </w:p>
    <w:p>
      <w:pPr>
        <w:spacing w:after="200"/>
        <w:jc w:val="center"/>
      </w:pPr>
      <w:r>
        <w:rPr>
          <w:rFonts w:ascii="Calibri" w:cs="Calibri" w:eastAsia="Calibri" w:hAnsi="Calibri"/>
          <w:b/>
          <w:bCs/>
          <w:color w:val="172A6C"/>
          <w:sz w:val="20"/>
          <w:szCs w:val="20"/>
        </w:rPr>
        <w:t xml:space="preserve">Purchase  →  Inventory  →  Production  →  Job Work  →  Sales &amp; Dispatch  →  HR &amp; Payroll  →  Reports</w:t>
      </w:r>
    </w:p>
    <w:p>
      <w:pPr>
        <w:spacing w:after="80" w:before="160"/>
      </w:pPr>
      <w:r>
        <w:rPr>
          <w:rFonts w:ascii="Calibri" w:cs="Calibri" w:eastAsia="Calibri" w:hAnsi="Calibri"/>
          <w:b/>
          <w:bCs/>
          <w:color w:val="172A6C"/>
          <w:sz w:val="22"/>
          <w:szCs w:val="22"/>
        </w:rPr>
        <w:t xml:space="preserve">Module Summary</w:t>
      </w:r>
    </w:p>
    <w:p>
      <w:pPr>
        <w:pStyle w:val="ListParagraph"/>
        <w:numPr>
          <w:ilvl w:val="0"/>
          <w:numId w:val="2"/>
        </w:numPr>
        <w:spacing w:after="60"/>
      </w:pPr>
      <w:r>
        <w:rPr>
          <w:rFonts w:ascii="Calibri" w:cs="Calibri" w:eastAsia="Calibri" w:hAnsi="Calibri"/>
          <w:b w:val="false"/>
          <w:bCs w:val="false"/>
          <w:color w:val="222222"/>
          <w:sz w:val="21"/>
          <w:szCs w:val="21"/>
        </w:rPr>
        <w:t xml:space="preserve">Purchase — vendor POs, shortage-driven ordering, GRN tracking against open POs.</w:t>
      </w:r>
    </w:p>
    <w:p>
      <w:pPr>
        <w:pStyle w:val="ListParagraph"/>
        <w:numPr>
          <w:ilvl w:val="0"/>
          <w:numId w:val="2"/>
        </w:numPr>
        <w:spacing w:after="60"/>
      </w:pPr>
      <w:r>
        <w:rPr>
          <w:rFonts w:ascii="Calibri" w:cs="Calibri" w:eastAsia="Calibri" w:hAnsi="Calibri"/>
          <w:b w:val="false"/>
          <w:bCs w:val="false"/>
          <w:color w:val="222222"/>
          <w:sz w:val="21"/>
          <w:szCs w:val="21"/>
        </w:rPr>
        <w:t xml:space="preserve">Inventory — multi-location stock, transfers, reorder alerts, physical-count adjustments, valuation.</w:t>
      </w:r>
    </w:p>
    <w:p>
      <w:pPr>
        <w:pStyle w:val="ListParagraph"/>
        <w:numPr>
          <w:ilvl w:val="0"/>
          <w:numId w:val="2"/>
        </w:numPr>
        <w:spacing w:after="60"/>
      </w:pPr>
      <w:r>
        <w:rPr>
          <w:rFonts w:ascii="Calibri" w:cs="Calibri" w:eastAsia="Calibri" w:hAnsi="Calibri"/>
          <w:b w:val="false"/>
          <w:bCs w:val="false"/>
          <w:color w:val="222222"/>
          <w:sz w:val="21"/>
          <w:szCs w:val="21"/>
        </w:rPr>
        <w:t xml:space="preserve">Production — multi-level BOMs, stage-wise routing, job-work tracking, live work-order status.</w:t>
      </w:r>
    </w:p>
    <w:p>
      <w:pPr>
        <w:pStyle w:val="ListParagraph"/>
        <w:numPr>
          <w:ilvl w:val="0"/>
          <w:numId w:val="2"/>
        </w:numPr>
        <w:spacing w:after="60"/>
      </w:pPr>
      <w:r>
        <w:rPr>
          <w:rFonts w:ascii="Calibri" w:cs="Calibri" w:eastAsia="Calibri" w:hAnsi="Calibri"/>
          <w:b w:val="false"/>
          <w:bCs w:val="false"/>
          <w:color w:val="222222"/>
          <w:sz w:val="21"/>
          <w:szCs w:val="21"/>
        </w:rPr>
        <w:t xml:space="preserve">Sales &amp; Dispatch — sales orders, delivery challans, partial dispatch, real-time finished-goods visibility.</w:t>
      </w:r>
    </w:p>
    <w:p>
      <w:pPr>
        <w:pStyle w:val="ListParagraph"/>
        <w:numPr>
          <w:ilvl w:val="0"/>
          <w:numId w:val="2"/>
        </w:numPr>
        <w:spacing w:after="60"/>
      </w:pPr>
      <w:r>
        <w:rPr>
          <w:rFonts w:ascii="Calibri" w:cs="Calibri" w:eastAsia="Calibri" w:hAnsi="Calibri"/>
          <w:b w:val="false"/>
          <w:bCs w:val="false"/>
          <w:color w:val="222222"/>
          <w:sz w:val="21"/>
          <w:szCs w:val="21"/>
        </w:rPr>
        <w:t xml:space="preserve">HR &amp; Payroll — employee master, attendance, leave, payroll and payslip generation.</w:t>
      </w:r>
    </w:p>
    <w:p>
      <w:pPr>
        <w:pStyle w:val="ListParagraph"/>
        <w:numPr>
          <w:ilvl w:val="0"/>
          <w:numId w:val="2"/>
        </w:numPr>
        <w:spacing w:after="60"/>
      </w:pPr>
      <w:r>
        <w:rPr>
          <w:rFonts w:ascii="Calibri" w:cs="Calibri" w:eastAsia="Calibri" w:hAnsi="Calibri"/>
          <w:b w:val="false"/>
          <w:bCs w:val="false"/>
          <w:color w:val="222222"/>
          <w:sz w:val="21"/>
          <w:szCs w:val="21"/>
        </w:rPr>
        <w:t xml:space="preserve">Reports &amp; Access Control — on-screen and exportable reports, role-based access across departments.</w:t>
      </w:r>
    </w:p>
    <w:p>
      <w:pPr>
        <w:sectPr>
          <w:headerReference w:type="default" r:id="rId9"/>
          <w:footerReference w:type="default" r:id="rId10"/>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02  </w:t>
      </w:r>
      <w:r>
        <w:rPr>
          <w:rFonts w:ascii="Calibri" w:cs="Calibri" w:eastAsia="Calibri" w:hAnsi="Calibri"/>
          <w:b/>
          <w:bCs/>
          <w:color w:val="172A6C"/>
          <w:sz w:val="30"/>
          <w:szCs w:val="30"/>
        </w:rPr>
        <w:t xml:space="preserve">Detailed Functional Scope</w:t>
      </w:r>
    </w:p>
    <w:p>
      <w:pPr>
        <w:spacing w:after="80" w:before="160"/>
      </w:pPr>
      <w:r>
        <w:rPr>
          <w:rFonts w:ascii="Calibri" w:cs="Calibri" w:eastAsia="Calibri" w:hAnsi="Calibri"/>
          <w:b/>
          <w:bCs/>
          <w:color w:val="172A6C"/>
          <w:sz w:val="22"/>
          <w:szCs w:val="22"/>
        </w:rPr>
        <w:t xml:space="preserve">Purchase</w:t>
      </w:r>
    </w:p>
    <w:p>
      <w:pPr>
        <w:pStyle w:val="ListParagraph"/>
        <w:numPr>
          <w:ilvl w:val="0"/>
          <w:numId w:val="2"/>
        </w:numPr>
        <w:spacing w:after="60"/>
      </w:pPr>
      <w:r>
        <w:rPr>
          <w:rFonts w:ascii="Calibri" w:cs="Calibri" w:eastAsia="Calibri" w:hAnsi="Calibri"/>
          <w:b w:val="false"/>
          <w:bCs w:val="false"/>
          <w:color w:val="222222"/>
          <w:sz w:val="21"/>
          <w:szCs w:val="21"/>
        </w:rPr>
        <w:t xml:space="preserve">Material requirement visibility — shortages calculated from active production, current stock, and open POs</w:t>
      </w:r>
    </w:p>
    <w:p>
      <w:pPr>
        <w:pStyle w:val="ListParagraph"/>
        <w:numPr>
          <w:ilvl w:val="0"/>
          <w:numId w:val="2"/>
        </w:numPr>
        <w:spacing w:after="60"/>
      </w:pPr>
      <w:r>
        <w:rPr>
          <w:rFonts w:ascii="Calibri" w:cs="Calibri" w:eastAsia="Calibri" w:hAnsi="Calibri"/>
          <w:b w:val="false"/>
          <w:bCs w:val="false"/>
          <w:color w:val="222222"/>
          <w:sz w:val="21"/>
          <w:szCs w:val="21"/>
        </w:rPr>
        <w:t xml:space="preserve">Purchase Orders raised against a vendor with item, quantity, rate, and delivery date</w:t>
      </w:r>
    </w:p>
    <w:p>
      <w:pPr>
        <w:pStyle w:val="ListParagraph"/>
        <w:numPr>
          <w:ilvl w:val="0"/>
          <w:numId w:val="2"/>
        </w:numPr>
        <w:spacing w:after="60"/>
      </w:pPr>
      <w:r>
        <w:rPr>
          <w:rFonts w:ascii="Calibri" w:cs="Calibri" w:eastAsia="Calibri" w:hAnsi="Calibri"/>
          <w:b w:val="false"/>
          <w:bCs w:val="false"/>
          <w:color w:val="222222"/>
          <w:sz w:val="21"/>
          <w:szCs w:val="21"/>
        </w:rPr>
        <w:t xml:space="preserve">PO status tracking — Open, Partially Received, Closed</w:t>
      </w:r>
    </w:p>
    <w:p>
      <w:pPr>
        <w:pStyle w:val="ListParagraph"/>
        <w:numPr>
          <w:ilvl w:val="0"/>
          <w:numId w:val="2"/>
        </w:numPr>
        <w:spacing w:after="60"/>
      </w:pPr>
      <w:r>
        <w:rPr>
          <w:rFonts w:ascii="Calibri" w:cs="Calibri" w:eastAsia="Calibri" w:hAnsi="Calibri"/>
          <w:b w:val="false"/>
          <w:bCs w:val="false"/>
          <w:color w:val="222222"/>
          <w:sz w:val="21"/>
          <w:szCs w:val="21"/>
        </w:rPr>
        <w:t xml:space="preserve">GRN entry with partial/multiple deliveries and automatic mismatch flags against the PO</w:t>
      </w:r>
    </w:p>
    <w:p>
      <w:pPr>
        <w:spacing w:after="80" w:before="160"/>
      </w:pPr>
      <w:r>
        <w:rPr>
          <w:rFonts w:ascii="Calibri" w:cs="Calibri" w:eastAsia="Calibri" w:hAnsi="Calibri"/>
          <w:b/>
          <w:bCs/>
          <w:color w:val="172A6C"/>
          <w:sz w:val="22"/>
          <w:szCs w:val="22"/>
        </w:rPr>
        <w:t xml:space="preserve">Inventory</w:t>
      </w:r>
    </w:p>
    <w:p>
      <w:pPr>
        <w:pStyle w:val="ListParagraph"/>
        <w:numPr>
          <w:ilvl w:val="0"/>
          <w:numId w:val="2"/>
        </w:numPr>
        <w:spacing w:after="60"/>
      </w:pPr>
      <w:r>
        <w:rPr>
          <w:rFonts w:ascii="Calibri" w:cs="Calibri" w:eastAsia="Calibri" w:hAnsi="Calibri"/>
          <w:b w:val="false"/>
          <w:bCs w:val="false"/>
          <w:color w:val="222222"/>
          <w:sz w:val="21"/>
          <w:szCs w:val="21"/>
        </w:rPr>
        <w:t xml:space="preserve">Multi-location stock — raw material, factory floor/WIP, finished goods, and material at job-work vendors</w:t>
      </w:r>
    </w:p>
    <w:p>
      <w:pPr>
        <w:pStyle w:val="ListParagraph"/>
        <w:numPr>
          <w:ilvl w:val="0"/>
          <w:numId w:val="2"/>
        </w:numPr>
        <w:spacing w:after="60"/>
      </w:pPr>
      <w:r>
        <w:rPr>
          <w:rFonts w:ascii="Calibri" w:cs="Calibri" w:eastAsia="Calibri" w:hAnsi="Calibri"/>
          <w:b w:val="false"/>
          <w:bCs w:val="false"/>
          <w:color w:val="222222"/>
          <w:sz w:val="21"/>
          <w:szCs w:val="21"/>
        </w:rPr>
        <w:t xml:space="preserve">Stock transfers between locations, updating both ends in one step</w:t>
      </w:r>
    </w:p>
    <w:p>
      <w:pPr>
        <w:pStyle w:val="ListParagraph"/>
        <w:numPr>
          <w:ilvl w:val="0"/>
          <w:numId w:val="2"/>
        </w:numPr>
        <w:spacing w:after="60"/>
      </w:pPr>
      <w:r>
        <w:rPr>
          <w:rFonts w:ascii="Calibri" w:cs="Calibri" w:eastAsia="Calibri" w:hAnsi="Calibri"/>
          <w:b w:val="false"/>
          <w:bCs w:val="false"/>
          <w:color w:val="222222"/>
          <w:sz w:val="21"/>
          <w:szCs w:val="21"/>
        </w:rPr>
        <w:t xml:space="preserve">Reorder alerts when stock falls below a set level</w:t>
      </w:r>
    </w:p>
    <w:p>
      <w:pPr>
        <w:pStyle w:val="ListParagraph"/>
        <w:numPr>
          <w:ilvl w:val="0"/>
          <w:numId w:val="2"/>
        </w:numPr>
        <w:spacing w:after="60"/>
      </w:pPr>
      <w:r>
        <w:rPr>
          <w:rFonts w:ascii="Calibri" w:cs="Calibri" w:eastAsia="Calibri" w:hAnsi="Calibri"/>
          <w:b w:val="false"/>
          <w:bCs w:val="false"/>
          <w:color w:val="222222"/>
          <w:sz w:val="21"/>
          <w:szCs w:val="21"/>
        </w:rPr>
        <w:t xml:space="preserve">Stock adjustments after physical count, with a logged audit trail</w:t>
      </w:r>
    </w:p>
    <w:p>
      <w:pPr>
        <w:pStyle w:val="ListParagraph"/>
        <w:numPr>
          <w:ilvl w:val="0"/>
          <w:numId w:val="2"/>
        </w:numPr>
        <w:spacing w:after="60"/>
      </w:pPr>
      <w:r>
        <w:rPr>
          <w:rFonts w:ascii="Calibri" w:cs="Calibri" w:eastAsia="Calibri" w:hAnsi="Calibri"/>
          <w:b w:val="false"/>
          <w:bCs w:val="false"/>
          <w:color w:val="222222"/>
          <w:sz w:val="21"/>
          <w:szCs w:val="21"/>
        </w:rPr>
        <w:t xml:space="preserve">Stock valuation by item and location</w:t>
      </w:r>
    </w:p>
    <w:p>
      <w:pPr>
        <w:spacing w:after="80" w:before="160"/>
      </w:pPr>
      <w:r>
        <w:rPr>
          <w:rFonts w:ascii="Calibri" w:cs="Calibri" w:eastAsia="Calibri" w:hAnsi="Calibri"/>
          <w:b/>
          <w:bCs/>
          <w:color w:val="172A6C"/>
          <w:sz w:val="22"/>
          <w:szCs w:val="22"/>
        </w:rPr>
        <w:t xml:space="preserve">Production</w:t>
      </w:r>
    </w:p>
    <w:p>
      <w:pPr>
        <w:pStyle w:val="ListParagraph"/>
        <w:numPr>
          <w:ilvl w:val="0"/>
          <w:numId w:val="2"/>
        </w:numPr>
        <w:spacing w:after="60"/>
      </w:pPr>
      <w:r>
        <w:rPr>
          <w:rFonts w:ascii="Calibri" w:cs="Calibri" w:eastAsia="Calibri" w:hAnsi="Calibri"/>
          <w:b w:val="false"/>
          <w:bCs w:val="false"/>
          <w:color w:val="222222"/>
          <w:sz w:val="21"/>
          <w:szCs w:val="21"/>
        </w:rPr>
        <w:t xml:space="preserve">Bills of Materials, including multi-level BOMs and BOM versioning</w:t>
      </w:r>
    </w:p>
    <w:p>
      <w:pPr>
        <w:pStyle w:val="ListParagraph"/>
        <w:numPr>
          <w:ilvl w:val="0"/>
          <w:numId w:val="2"/>
        </w:numPr>
        <w:spacing w:after="60"/>
      </w:pPr>
      <w:r>
        <w:rPr>
          <w:rFonts w:ascii="Calibri" w:cs="Calibri" w:eastAsia="Calibri" w:hAnsi="Calibri"/>
          <w:b w:val="false"/>
          <w:bCs w:val="false"/>
          <w:color w:val="222222"/>
          <w:sz w:val="21"/>
          <w:szCs w:val="21"/>
        </w:rPr>
        <w:t xml:space="preserve">Routing and stage-wise tracking for every Work Order</w:t>
      </w:r>
    </w:p>
    <w:p>
      <w:pPr>
        <w:pStyle w:val="ListParagraph"/>
        <w:numPr>
          <w:ilvl w:val="0"/>
          <w:numId w:val="2"/>
        </w:numPr>
        <w:spacing w:after="60"/>
      </w:pPr>
      <w:r>
        <w:rPr>
          <w:rFonts w:ascii="Calibri" w:cs="Calibri" w:eastAsia="Calibri" w:hAnsi="Calibri"/>
          <w:b w:val="false"/>
          <w:bCs w:val="false"/>
          <w:color w:val="222222"/>
          <w:sz w:val="21"/>
          <w:szCs w:val="21"/>
        </w:rPr>
        <w:t xml:space="preserve">Job-work tracking — material sent to a vendor, outstanding balance, and receipts</w:t>
      </w:r>
    </w:p>
    <w:p>
      <w:pPr>
        <w:pStyle w:val="ListParagraph"/>
        <w:numPr>
          <w:ilvl w:val="0"/>
          <w:numId w:val="2"/>
        </w:numPr>
        <w:spacing w:after="60"/>
      </w:pPr>
      <w:r>
        <w:rPr>
          <w:rFonts w:ascii="Calibri" w:cs="Calibri" w:eastAsia="Calibri" w:hAnsi="Calibri"/>
          <w:b w:val="false"/>
          <w:bCs w:val="false"/>
          <w:color w:val="222222"/>
          <w:sz w:val="21"/>
          <w:szCs w:val="21"/>
        </w:rPr>
        <w:t xml:space="preserve">Work Orders with BOM auto-explosion for material requirement</w:t>
      </w:r>
    </w:p>
    <w:p>
      <w:pPr>
        <w:pStyle w:val="ListParagraph"/>
        <w:numPr>
          <w:ilvl w:val="0"/>
          <w:numId w:val="2"/>
        </w:numPr>
        <w:spacing w:after="60"/>
      </w:pPr>
      <w:r>
        <w:rPr>
          <w:rFonts w:ascii="Calibri" w:cs="Calibri" w:eastAsia="Calibri" w:hAnsi="Calibri"/>
          <w:b w:val="false"/>
          <w:bCs w:val="false"/>
          <w:color w:val="222222"/>
          <w:sz w:val="21"/>
          <w:szCs w:val="21"/>
        </w:rPr>
        <w:t xml:space="preserve">Live production status and completion % without a floor visit</w:t>
      </w:r>
    </w:p>
    <w:p>
      <w:pPr>
        <w:spacing w:after="80" w:before="160"/>
      </w:pPr>
      <w:r>
        <w:rPr>
          <w:rFonts w:ascii="Calibri" w:cs="Calibri" w:eastAsia="Calibri" w:hAnsi="Calibri"/>
          <w:b/>
          <w:bCs/>
          <w:color w:val="172A6C"/>
          <w:sz w:val="22"/>
          <w:szCs w:val="22"/>
        </w:rPr>
        <w:t xml:space="preserve">Sales &amp; Dispatch</w:t>
      </w:r>
    </w:p>
    <w:p>
      <w:pPr>
        <w:pStyle w:val="ListParagraph"/>
        <w:numPr>
          <w:ilvl w:val="0"/>
          <w:numId w:val="2"/>
        </w:numPr>
        <w:spacing w:after="60"/>
      </w:pPr>
      <w:r>
        <w:rPr>
          <w:rFonts w:ascii="Calibri" w:cs="Calibri" w:eastAsia="Calibri" w:hAnsi="Calibri"/>
          <w:b w:val="false"/>
          <w:bCs w:val="false"/>
          <w:color w:val="222222"/>
          <w:sz w:val="21"/>
          <w:szCs w:val="21"/>
        </w:rPr>
        <w:t xml:space="preserve">Sales Orders with items, quantities, rates, and delivery dates</w:t>
      </w:r>
    </w:p>
    <w:p>
      <w:pPr>
        <w:pStyle w:val="ListParagraph"/>
        <w:numPr>
          <w:ilvl w:val="0"/>
          <w:numId w:val="2"/>
        </w:numPr>
        <w:spacing w:after="60"/>
      </w:pPr>
      <w:r>
        <w:rPr>
          <w:rFonts w:ascii="Calibri" w:cs="Calibri" w:eastAsia="Calibri" w:hAnsi="Calibri"/>
          <w:b w:val="false"/>
          <w:bCs w:val="false"/>
          <w:color w:val="222222"/>
          <w:sz w:val="21"/>
          <w:szCs w:val="21"/>
        </w:rPr>
        <w:t xml:space="preserve">Dispatch Notes / Delivery Challans, including partial dispatch</w:t>
      </w:r>
    </w:p>
    <w:p>
      <w:pPr>
        <w:pStyle w:val="ListParagraph"/>
        <w:numPr>
          <w:ilvl w:val="0"/>
          <w:numId w:val="2"/>
        </w:numPr>
        <w:spacing w:after="60"/>
      </w:pPr>
      <w:r>
        <w:rPr>
          <w:rFonts w:ascii="Calibri" w:cs="Calibri" w:eastAsia="Calibri" w:hAnsi="Calibri"/>
          <w:b w:val="false"/>
          <w:bCs w:val="false"/>
          <w:color w:val="222222"/>
          <w:sz w:val="21"/>
          <w:szCs w:val="21"/>
        </w:rPr>
        <w:t xml:space="preserve">Real-time finished-goods visibility for delivery commitments</w:t>
      </w:r>
    </w:p>
    <w:p>
      <w:pPr>
        <w:pStyle w:val="ListParagraph"/>
        <w:numPr>
          <w:ilvl w:val="0"/>
          <w:numId w:val="2"/>
        </w:numPr>
        <w:spacing w:after="60"/>
      </w:pPr>
      <w:r>
        <w:rPr>
          <w:rFonts w:ascii="Calibri" w:cs="Calibri" w:eastAsia="Calibri" w:hAnsi="Calibri"/>
          <w:b w:val="false"/>
          <w:bCs w:val="false"/>
          <w:color w:val="222222"/>
          <w:sz w:val="21"/>
          <w:szCs w:val="21"/>
        </w:rPr>
        <w:t xml:space="preserve">Order status tracking — Pending, Partially Dispatched, Fully Dispatched</w:t>
      </w:r>
    </w:p>
    <w:p>
      <w:pPr>
        <w:spacing w:after="80" w:before="160"/>
      </w:pPr>
      <w:r>
        <w:rPr>
          <w:rFonts w:ascii="Calibri" w:cs="Calibri" w:eastAsia="Calibri" w:hAnsi="Calibri"/>
          <w:b/>
          <w:bCs/>
          <w:color w:val="172A6C"/>
          <w:sz w:val="22"/>
          <w:szCs w:val="22"/>
        </w:rPr>
        <w:t xml:space="preserve">HR &amp; Payroll</w:t>
      </w:r>
    </w:p>
    <w:p>
      <w:pPr>
        <w:pStyle w:val="ListParagraph"/>
        <w:numPr>
          <w:ilvl w:val="0"/>
          <w:numId w:val="2"/>
        </w:numPr>
        <w:spacing w:after="60"/>
      </w:pPr>
      <w:r>
        <w:rPr>
          <w:rFonts w:ascii="Calibri" w:cs="Calibri" w:eastAsia="Calibri" w:hAnsi="Calibri"/>
          <w:b w:val="false"/>
          <w:bCs w:val="false"/>
          <w:color w:val="222222"/>
          <w:sz w:val="21"/>
          <w:szCs w:val="21"/>
        </w:rPr>
        <w:t xml:space="preserve">Employee master for permanent and daily-wage/contract staff</w:t>
      </w:r>
    </w:p>
    <w:p>
      <w:pPr>
        <w:pStyle w:val="ListParagraph"/>
        <w:numPr>
          <w:ilvl w:val="0"/>
          <w:numId w:val="2"/>
        </w:numPr>
        <w:spacing w:after="60"/>
      </w:pPr>
      <w:r>
        <w:rPr>
          <w:rFonts w:ascii="Calibri" w:cs="Calibri" w:eastAsia="Calibri" w:hAnsi="Calibri"/>
          <w:b w:val="false"/>
          <w:bCs w:val="false"/>
          <w:color w:val="222222"/>
          <w:sz w:val="21"/>
          <w:szCs w:val="21"/>
        </w:rPr>
        <w:t xml:space="preserve">Daily attendance marking, individually or in bulk</w:t>
      </w:r>
    </w:p>
    <w:p>
      <w:pPr>
        <w:pStyle w:val="ListParagraph"/>
        <w:numPr>
          <w:ilvl w:val="0"/>
          <w:numId w:val="2"/>
        </w:numPr>
        <w:spacing w:after="60"/>
      </w:pPr>
      <w:r>
        <w:rPr>
          <w:rFonts w:ascii="Calibri" w:cs="Calibri" w:eastAsia="Calibri" w:hAnsi="Calibri"/>
          <w:b w:val="false"/>
          <w:bCs w:val="false"/>
          <w:color w:val="222222"/>
          <w:sz w:val="21"/>
          <w:szCs w:val="21"/>
        </w:rPr>
        <w:t xml:space="preserve">Leave types and balances tracked automatically per employee</w:t>
      </w:r>
    </w:p>
    <w:p>
      <w:pPr>
        <w:pStyle w:val="ListParagraph"/>
        <w:numPr>
          <w:ilvl w:val="0"/>
          <w:numId w:val="2"/>
        </w:numPr>
        <w:spacing w:after="60"/>
      </w:pPr>
      <w:r>
        <w:rPr>
          <w:rFonts w:ascii="Calibri" w:cs="Calibri" w:eastAsia="Calibri" w:hAnsi="Calibri"/>
          <w:b w:val="false"/>
          <w:bCs w:val="false"/>
          <w:color w:val="222222"/>
          <w:sz w:val="21"/>
          <w:szCs w:val="21"/>
        </w:rPr>
        <w:t xml:space="preserve">Monthly payroll from attendance and salary structure, including daily-wage computation</w:t>
      </w:r>
    </w:p>
    <w:p>
      <w:pPr>
        <w:pStyle w:val="ListParagraph"/>
        <w:numPr>
          <w:ilvl w:val="0"/>
          <w:numId w:val="2"/>
        </w:numPr>
        <w:spacing w:after="60"/>
      </w:pPr>
      <w:r>
        <w:rPr>
          <w:rFonts w:ascii="Calibri" w:cs="Calibri" w:eastAsia="Calibri" w:hAnsi="Calibri"/>
          <w:b w:val="false"/>
          <w:bCs w:val="false"/>
          <w:color w:val="222222"/>
          <w:sz w:val="21"/>
          <w:szCs w:val="21"/>
        </w:rPr>
        <w:t xml:space="preserve">Payslips and a consolidated monthly salary register</w:t>
      </w:r>
    </w:p>
    <w:p>
      <w:pPr>
        <w:spacing w:after="80"/>
      </w:pPr>
      <w:r>
        <w:rPr>
          <w:rFonts w:ascii="Calibri" w:cs="Calibri" w:eastAsia="Calibri" w:hAnsi="Calibri"/>
          <w:i/>
          <w:iCs/>
          <w:color w:val="222222"/>
          <w:sz w:val="21"/>
          <w:szCs w:val="21"/>
        </w:rPr>
        <w:t xml:space="preserve">Note: this module covers HR &amp; Payroll only. If ledger, GST, TDS, bank reconciliation, or financial-statement functionality is required, it must be listed separately as an Accounting module.</w:t>
      </w:r>
    </w:p>
    <w:p>
      <w:pPr>
        <w:spacing w:after="80" w:before="160"/>
      </w:pPr>
      <w:r>
        <w:rPr>
          <w:rFonts w:ascii="Calibri" w:cs="Calibri" w:eastAsia="Calibri" w:hAnsi="Calibri"/>
          <w:b/>
          <w:bCs/>
          <w:color w:val="172A6C"/>
          <w:sz w:val="22"/>
          <w:szCs w:val="22"/>
        </w:rPr>
        <w:t xml:space="preserve">Reports &amp; Access Control</w:t>
      </w:r>
    </w:p>
    <w:p>
      <w:pPr>
        <w:pStyle w:val="ListParagraph"/>
        <w:numPr>
          <w:ilvl w:val="0"/>
          <w:numId w:val="2"/>
        </w:numPr>
        <w:spacing w:after="60"/>
      </w:pPr>
      <w:r>
        <w:rPr>
          <w:rFonts w:ascii="Calibri" w:cs="Calibri" w:eastAsia="Calibri" w:hAnsi="Calibri"/>
          <w:b w:val="false"/>
          <w:bCs w:val="false"/>
          <w:color w:val="222222"/>
          <w:sz w:val="21"/>
          <w:szCs w:val="21"/>
        </w:rPr>
        <w:t xml:space="preserve">On-screen and downloadable (PDF/Excel) reports across all modules</w:t>
      </w:r>
    </w:p>
    <w:p>
      <w:pPr>
        <w:pStyle w:val="ListParagraph"/>
        <w:numPr>
          <w:ilvl w:val="0"/>
          <w:numId w:val="2"/>
        </w:numPr>
        <w:spacing w:after="60"/>
      </w:pPr>
      <w:r>
        <w:rPr>
          <w:rFonts w:ascii="Calibri" w:cs="Calibri" w:eastAsia="Calibri" w:hAnsi="Calibri"/>
          <w:b w:val="false"/>
          <w:bCs w:val="false"/>
          <w:color w:val="222222"/>
          <w:sz w:val="21"/>
          <w:szCs w:val="21"/>
        </w:rPr>
        <w:t xml:space="preserve">Role-based access, assignable and adjustable at any time</w:t>
      </w:r>
    </w:p>
    <w:p>
      <w:pPr>
        <w:sectPr>
          <w:headerReference w:type="default" r:id="rId11"/>
          <w:footerReference w:type="default" r:id="rId12"/>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03  </w:t>
      </w:r>
      <w:r>
        <w:rPr>
          <w:rFonts w:ascii="Calibri" w:cs="Calibri" w:eastAsia="Calibri" w:hAnsi="Calibri"/>
          <w:b/>
          <w:bCs/>
          <w:color w:val="172A6C"/>
          <w:sz w:val="30"/>
          <w:szCs w:val="30"/>
        </w:rPr>
        <w:t xml:space="preserve">Deliverables &amp; Implementation</w:t>
      </w:r>
    </w:p>
    <w:p>
      <w:pPr>
        <w:spacing w:after="80" w:before="160"/>
      </w:pPr>
      <w:r>
        <w:rPr>
          <w:rFonts w:ascii="Calibri" w:cs="Calibri" w:eastAsia="Calibri" w:hAnsi="Calibri"/>
          <w:b/>
          <w:bCs/>
          <w:color w:val="172A6C"/>
          <w:sz w:val="22"/>
          <w:szCs w:val="22"/>
        </w:rPr>
        <w:t xml:space="preserve">Project Deliverables</w:t>
      </w:r>
    </w:p>
    <w:p>
      <w:pPr>
        <w:pStyle w:val="ListParagraph"/>
        <w:numPr>
          <w:ilvl w:val="0"/>
          <w:numId w:val="2"/>
        </w:numPr>
        <w:spacing w:after="60"/>
      </w:pPr>
      <w:r>
        <w:rPr>
          <w:rFonts w:ascii="Calibri" w:cs="Calibri" w:eastAsia="Calibri" w:hAnsi="Calibri"/>
          <w:b/>
          <w:bCs/>
          <w:color w:val="222222"/>
          <w:sz w:val="21"/>
          <w:szCs w:val="21"/>
        </w:rPr>
        <w:t xml:space="preserve">ERP Platform — web-based application, secure login, role-based access, department dashboards</w:t>
      </w:r>
    </w:p>
    <w:p>
      <w:pPr>
        <w:pStyle w:val="ListParagraph"/>
        <w:numPr>
          <w:ilvl w:val="0"/>
          <w:numId w:val="2"/>
        </w:numPr>
        <w:spacing w:after="60"/>
      </w:pPr>
      <w:r>
        <w:rPr>
          <w:rFonts w:ascii="Calibri" w:cs="Calibri" w:eastAsia="Calibri" w:hAnsi="Calibri"/>
          <w:b/>
          <w:bCs/>
          <w:color w:val="222222"/>
          <w:sz w:val="21"/>
          <w:szCs w:val="21"/>
        </w:rPr>
        <w:t xml:space="preserve">Operations — Purchase, Inventory, Production, Job Work, Sales, Dispatch</w:t>
      </w:r>
    </w:p>
    <w:p>
      <w:pPr>
        <w:pStyle w:val="ListParagraph"/>
        <w:numPr>
          <w:ilvl w:val="0"/>
          <w:numId w:val="2"/>
        </w:numPr>
        <w:spacing w:after="60"/>
      </w:pPr>
      <w:r>
        <w:rPr>
          <w:rFonts w:ascii="Calibri" w:cs="Calibri" w:eastAsia="Calibri" w:hAnsi="Calibri"/>
          <w:b/>
          <w:bCs/>
          <w:color w:val="222222"/>
          <w:sz w:val="21"/>
          <w:szCs w:val="21"/>
        </w:rPr>
        <w:t xml:space="preserve">People — employee management, attendance, leave, payroll</w:t>
      </w:r>
    </w:p>
    <w:p>
      <w:pPr>
        <w:pStyle w:val="ListParagraph"/>
        <w:numPr>
          <w:ilvl w:val="0"/>
          <w:numId w:val="2"/>
        </w:numPr>
        <w:spacing w:after="60"/>
      </w:pPr>
      <w:r>
        <w:rPr>
          <w:rFonts w:ascii="Calibri" w:cs="Calibri" w:eastAsia="Calibri" w:hAnsi="Calibri"/>
          <w:b/>
          <w:bCs/>
          <w:color w:val="222222"/>
          <w:sz w:val="21"/>
          <w:szCs w:val="21"/>
        </w:rPr>
        <w:t xml:space="preserve">Management — reports, Excel/PDF exports, audit trails, dashboard</w:t>
      </w:r>
    </w:p>
    <w:p>
      <w:pPr>
        <w:pStyle w:val="ListParagraph"/>
        <w:numPr>
          <w:ilvl w:val="0"/>
          <w:numId w:val="2"/>
        </w:numPr>
        <w:spacing w:after="60"/>
      </w:pPr>
      <w:r>
        <w:rPr>
          <w:rFonts w:ascii="Calibri" w:cs="Calibri" w:eastAsia="Calibri" w:hAnsi="Calibri"/>
          <w:b/>
          <w:bCs/>
          <w:color w:val="222222"/>
          <w:sz w:val="21"/>
          <w:szCs w:val="21"/>
        </w:rPr>
        <w:t xml:space="preserve">Implementation — data setup, testing, training, go-live, post-go-live support</w:t>
      </w:r>
    </w:p>
    <w:p>
      <w:pPr>
        <w:spacing w:after="80" w:before="160"/>
      </w:pPr>
      <w:r>
        <w:rPr>
          <w:rFonts w:ascii="Calibri" w:cs="Calibri" w:eastAsia="Calibri" w:hAnsi="Calibri"/>
          <w:b/>
          <w:bCs/>
          <w:color w:val="172A6C"/>
          <w:sz w:val="22"/>
          <w:szCs w:val="22"/>
        </w:rPr>
        <w:t xml:space="preserve">Scope of Work</w:t>
      </w:r>
    </w:p>
    <w:p>
      <w:pPr>
        <w:pStyle w:val="ListParagraph"/>
        <w:numPr>
          <w:ilvl w:val="0"/>
          <w:numId w:val="2"/>
        </w:numPr>
        <w:spacing w:after="60"/>
      </w:pPr>
      <w:r>
        <w:rPr>
          <w:rFonts w:ascii="Calibri" w:cs="Calibri" w:eastAsia="Calibri" w:hAnsi="Calibri"/>
          <w:b w:val="false"/>
          <w:bCs w:val="false"/>
          <w:color w:val="222222"/>
          <w:sz w:val="21"/>
          <w:szCs w:val="21"/>
        </w:rPr>
        <w:t xml:space="preserve">Understanding the client's business requirements and existing plant workflow</w:t>
      </w:r>
    </w:p>
    <w:p>
      <w:pPr>
        <w:pStyle w:val="ListParagraph"/>
        <w:numPr>
          <w:ilvl w:val="0"/>
          <w:numId w:val="2"/>
        </w:numPr>
        <w:spacing w:after="60"/>
      </w:pPr>
      <w:r>
        <w:rPr>
          <w:rFonts w:ascii="Calibri" w:cs="Calibri" w:eastAsia="Calibri" w:hAnsi="Calibri"/>
          <w:b w:val="false"/>
          <w:bCs w:val="false"/>
          <w:color w:val="222222"/>
          <w:sz w:val="21"/>
          <w:szCs w:val="21"/>
        </w:rPr>
        <w:t xml:space="preserve">Preparation of a Software Requirement Specification (SRS) and client approval</w:t>
      </w:r>
    </w:p>
    <w:p>
      <w:pPr>
        <w:pStyle w:val="ListParagraph"/>
        <w:numPr>
          <w:ilvl w:val="0"/>
          <w:numId w:val="2"/>
        </w:numPr>
        <w:spacing w:after="60"/>
      </w:pPr>
      <w:r>
        <w:rPr>
          <w:rFonts w:ascii="Calibri" w:cs="Calibri" w:eastAsia="Calibri" w:hAnsi="Calibri"/>
          <w:b w:val="false"/>
          <w:bCs w:val="false"/>
          <w:color w:val="222222"/>
          <w:sz w:val="21"/>
          <w:szCs w:val="21"/>
        </w:rPr>
        <w:t xml:space="preserve">ERP customization as per the approved process flow</w:t>
      </w:r>
    </w:p>
    <w:p>
      <w:pPr>
        <w:pStyle w:val="ListParagraph"/>
        <w:numPr>
          <w:ilvl w:val="0"/>
          <w:numId w:val="2"/>
        </w:numPr>
        <w:spacing w:after="60"/>
      </w:pPr>
      <w:r>
        <w:rPr>
          <w:rFonts w:ascii="Calibri" w:cs="Calibri" w:eastAsia="Calibri" w:hAnsi="Calibri"/>
          <w:b w:val="false"/>
          <w:bCs w:val="false"/>
          <w:color w:val="222222"/>
          <w:sz w:val="21"/>
          <w:szCs w:val="21"/>
        </w:rPr>
        <w:t xml:space="preserve">Master data setup — items, customers, suppliers, machines, users, and process data</w:t>
      </w:r>
    </w:p>
    <w:p>
      <w:pPr>
        <w:pStyle w:val="ListParagraph"/>
        <w:numPr>
          <w:ilvl w:val="0"/>
          <w:numId w:val="2"/>
        </w:numPr>
        <w:spacing w:after="60"/>
      </w:pPr>
      <w:r>
        <w:rPr>
          <w:rFonts w:ascii="Calibri" w:cs="Calibri" w:eastAsia="Calibri" w:hAnsi="Calibri"/>
          <w:b w:val="false"/>
          <w:bCs w:val="false"/>
          <w:color w:val="222222"/>
          <w:sz w:val="21"/>
          <w:szCs w:val="21"/>
        </w:rPr>
        <w:t xml:space="preserve">Testing, validation, and correction of identified issues before go-live</w:t>
      </w:r>
    </w:p>
    <w:p>
      <w:pPr>
        <w:pStyle w:val="ListParagraph"/>
        <w:numPr>
          <w:ilvl w:val="0"/>
          <w:numId w:val="2"/>
        </w:numPr>
        <w:spacing w:after="60"/>
      </w:pPr>
      <w:r>
        <w:rPr>
          <w:rFonts w:ascii="Calibri" w:cs="Calibri" w:eastAsia="Calibri" w:hAnsi="Calibri"/>
          <w:b w:val="false"/>
          <w:bCs w:val="false"/>
          <w:color w:val="222222"/>
          <w:sz w:val="21"/>
          <w:szCs w:val="21"/>
        </w:rPr>
        <w:t xml:space="preserve">User training for concerned departments</w:t>
      </w:r>
    </w:p>
    <w:p>
      <w:pPr>
        <w:pStyle w:val="ListParagraph"/>
        <w:numPr>
          <w:ilvl w:val="0"/>
          <w:numId w:val="2"/>
        </w:numPr>
        <w:spacing w:after="60"/>
      </w:pPr>
      <w:r>
        <w:rPr>
          <w:rFonts w:ascii="Calibri" w:cs="Calibri" w:eastAsia="Calibri" w:hAnsi="Calibri"/>
          <w:b w:val="false"/>
          <w:bCs w:val="false"/>
          <w:color w:val="222222"/>
          <w:sz w:val="21"/>
          <w:szCs w:val="21"/>
        </w:rPr>
        <w:t xml:space="preserve">Implementation support during the go-live phase</w:t>
      </w:r>
    </w:p>
    <w:p>
      <w:pPr>
        <w:pStyle w:val="ListParagraph"/>
        <w:numPr>
          <w:ilvl w:val="0"/>
          <w:numId w:val="2"/>
        </w:numPr>
        <w:spacing w:after="60"/>
      </w:pPr>
      <w:r>
        <w:rPr>
          <w:rFonts w:ascii="Calibri" w:cs="Calibri" w:eastAsia="Calibri" w:hAnsi="Calibri"/>
          <w:b w:val="false"/>
          <w:bCs w:val="false"/>
          <w:color w:val="222222"/>
          <w:sz w:val="21"/>
          <w:szCs w:val="21"/>
        </w:rPr>
        <w:t xml:space="preserve">Post-implementation support for the agreed support period</w:t>
      </w:r>
    </w:p>
    <w:p>
      <w:pPr>
        <w:spacing w:after="80" w:before="160"/>
      </w:pPr>
      <w:r>
        <w:rPr>
          <w:rFonts w:ascii="Calibri" w:cs="Calibri" w:eastAsia="Calibri" w:hAnsi="Calibri"/>
          <w:b/>
          <w:bCs/>
          <w:color w:val="172A6C"/>
          <w:sz w:val="22"/>
          <w:szCs w:val="22"/>
        </w:rPr>
        <w:t xml:space="preserve">Implementation Roadmap</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pct" w:w="70%"/>
            <w:shd w:fill="172A6C" w:val="clear"/>
            <w:tcMar>
              <w:top w:type="dxa" w:w="90"/>
              <w:left w:type="dxa" w:w="120"/>
              <w:bottom w:type="dxa" w:w="90"/>
              <w:right w:type="dxa" w:w="120"/>
            </w:tcMar>
          </w:tcPr>
          <w:p>
            <w:r>
              <w:rPr>
                <w:rFonts w:ascii="Calibri" w:cs="Calibri" w:eastAsia="Calibri" w:hAnsi="Calibri"/>
                <w:b/>
                <w:bCs/>
                <w:color w:val="FFFFFF"/>
                <w:sz w:val="19"/>
                <w:szCs w:val="19"/>
              </w:rPr>
              <w:t xml:space="preserve">Phase</w:t>
            </w:r>
          </w:p>
        </w:tc>
        <w:tc>
          <w:tcPr>
            <w:tcW w:type="pct" w:w="30%"/>
            <w:shd w:fill="172A6C" w:val="clear"/>
            <w:tcMar>
              <w:top w:type="dxa" w:w="90"/>
              <w:left w:type="dxa" w:w="120"/>
              <w:bottom w:type="dxa" w:w="90"/>
              <w:right w:type="dxa" w:w="120"/>
            </w:tcMar>
          </w:tcPr>
          <w:p>
            <w:r>
              <w:rPr>
                <w:rFonts w:ascii="Calibri" w:cs="Calibri" w:eastAsia="Calibri" w:hAnsi="Calibri"/>
                <w:b/>
                <w:bCs/>
                <w:color w:val="FFFFFF"/>
                <w:sz w:val="19"/>
                <w:szCs w:val="19"/>
              </w:rPr>
              <w:t xml:space="preserve">Duration</w:t>
            </w:r>
          </w:p>
        </w:tc>
      </w:tr>
      <w:tr>
        <w:tc>
          <w:tcPr>
            <w:tcW w:type="pct" w:w="70%"/>
            <w:shd w:fill="FFFFFF" w:val="clear"/>
            <w:tcMar>
              <w:top w:type="dxa" w:w="80"/>
              <w:left w:type="dxa" w:w="120"/>
              <w:bottom w:type="dxa" w:w="80"/>
              <w:right w:type="dxa" w:w="120"/>
            </w:tcMar>
          </w:tcPr>
          <w:p>
            <w:r>
              <w:rPr>
                <w:rFonts w:ascii="Calibri" w:cs="Calibri" w:eastAsia="Calibri" w:hAnsi="Calibri"/>
                <w:color w:val="222222"/>
                <w:sz w:val="19"/>
                <w:szCs w:val="19"/>
              </w:rPr>
              <w:t xml:space="preserve">Phase 1 — Requirement Study &amp; SRS</w:t>
            </w:r>
          </w:p>
        </w:tc>
        <w:tc>
          <w:tcPr>
            <w:tcW w:type="pct" w:w="30%"/>
            <w:shd w:fill="FFFFFF" w:val="clear"/>
            <w:tcMar>
              <w:top w:type="dxa" w:w="80"/>
              <w:left w:type="dxa" w:w="120"/>
              <w:bottom w:type="dxa" w:w="80"/>
              <w:right w:type="dxa" w:w="120"/>
            </w:tcMar>
          </w:tcPr>
          <w:p>
            <w:r>
              <w:rPr>
                <w:rFonts w:ascii="Calibri" w:cs="Calibri" w:eastAsia="Calibri" w:hAnsi="Calibri"/>
                <w:color w:val="222222"/>
                <w:sz w:val="19"/>
                <w:szCs w:val="19"/>
              </w:rPr>
              <w:t xml:space="preserve">1–2 weeks</w:t>
            </w:r>
          </w:p>
        </w:tc>
      </w:tr>
      <w:tr>
        <w:tc>
          <w:tcPr>
            <w:tcW w:type="pct" w:w="70%"/>
            <w:shd w:fill="F7F7F7" w:val="clear"/>
            <w:tcMar>
              <w:top w:type="dxa" w:w="80"/>
              <w:left w:type="dxa" w:w="120"/>
              <w:bottom w:type="dxa" w:w="80"/>
              <w:right w:type="dxa" w:w="120"/>
            </w:tcMar>
          </w:tcPr>
          <w:p>
            <w:r>
              <w:rPr>
                <w:rFonts w:ascii="Calibri" w:cs="Calibri" w:eastAsia="Calibri" w:hAnsi="Calibri"/>
                <w:color w:val="222222"/>
                <w:sz w:val="19"/>
                <w:szCs w:val="19"/>
              </w:rPr>
              <w:t xml:space="preserve">Phase 2 — Core ERP Development</w:t>
            </w:r>
          </w:p>
        </w:tc>
        <w:tc>
          <w:tcPr>
            <w:tcW w:type="pct" w:w="30%"/>
            <w:shd w:fill="F7F7F7" w:val="clear"/>
            <w:tcMar>
              <w:top w:type="dxa" w:w="80"/>
              <w:left w:type="dxa" w:w="120"/>
              <w:bottom w:type="dxa" w:w="80"/>
              <w:right w:type="dxa" w:w="120"/>
            </w:tcMar>
          </w:tcPr>
          <w:p>
            <w:r>
              <w:rPr>
                <w:rFonts w:ascii="Calibri" w:cs="Calibri" w:eastAsia="Calibri" w:hAnsi="Calibri"/>
                <w:color w:val="222222"/>
                <w:sz w:val="19"/>
                <w:szCs w:val="19"/>
              </w:rPr>
              <w:t xml:space="preserve">3–5 weeks</w:t>
            </w:r>
          </w:p>
        </w:tc>
      </w:tr>
      <w:tr>
        <w:tc>
          <w:tcPr>
            <w:tcW w:type="pct" w:w="70%"/>
            <w:shd w:fill="FFFFFF" w:val="clear"/>
            <w:tcMar>
              <w:top w:type="dxa" w:w="80"/>
              <w:left w:type="dxa" w:w="120"/>
              <w:bottom w:type="dxa" w:w="80"/>
              <w:right w:type="dxa" w:w="120"/>
            </w:tcMar>
          </w:tcPr>
          <w:p>
            <w:r>
              <w:rPr>
                <w:rFonts w:ascii="Calibri" w:cs="Calibri" w:eastAsia="Calibri" w:hAnsi="Calibri"/>
                <w:color w:val="222222"/>
                <w:sz w:val="19"/>
                <w:szCs w:val="19"/>
              </w:rPr>
              <w:t xml:space="preserve">Phase 3 — Manufacturing &amp; Production</w:t>
            </w:r>
          </w:p>
        </w:tc>
        <w:tc>
          <w:tcPr>
            <w:tcW w:type="pct" w:w="30%"/>
            <w:shd w:fill="FFFFFF" w:val="clear"/>
            <w:tcMar>
              <w:top w:type="dxa" w:w="80"/>
              <w:left w:type="dxa" w:w="120"/>
              <w:bottom w:type="dxa" w:w="80"/>
              <w:right w:type="dxa" w:w="120"/>
            </w:tcMar>
          </w:tcPr>
          <w:p>
            <w:r>
              <w:rPr>
                <w:rFonts w:ascii="Calibri" w:cs="Calibri" w:eastAsia="Calibri" w:hAnsi="Calibri"/>
                <w:color w:val="222222"/>
                <w:sz w:val="19"/>
                <w:szCs w:val="19"/>
              </w:rPr>
              <w:t xml:space="preserve">2–3 weeks</w:t>
            </w:r>
          </w:p>
        </w:tc>
      </w:tr>
      <w:tr>
        <w:tc>
          <w:tcPr>
            <w:tcW w:type="pct" w:w="70%"/>
            <w:shd w:fill="F7F7F7" w:val="clear"/>
            <w:tcMar>
              <w:top w:type="dxa" w:w="80"/>
              <w:left w:type="dxa" w:w="120"/>
              <w:bottom w:type="dxa" w:w="80"/>
              <w:right w:type="dxa" w:w="120"/>
            </w:tcMar>
          </w:tcPr>
          <w:p>
            <w:r>
              <w:rPr>
                <w:rFonts w:ascii="Calibri" w:cs="Calibri" w:eastAsia="Calibri" w:hAnsi="Calibri"/>
                <w:color w:val="222222"/>
                <w:sz w:val="19"/>
                <w:szCs w:val="19"/>
              </w:rPr>
              <w:t xml:space="preserve">Phase 4 — HR, Reports &amp; Finalization</w:t>
            </w:r>
          </w:p>
        </w:tc>
        <w:tc>
          <w:tcPr>
            <w:tcW w:type="pct" w:w="30%"/>
            <w:shd w:fill="F7F7F7" w:val="clear"/>
            <w:tcMar>
              <w:top w:type="dxa" w:w="80"/>
              <w:left w:type="dxa" w:w="120"/>
              <w:bottom w:type="dxa" w:w="80"/>
              <w:right w:type="dxa" w:w="120"/>
            </w:tcMar>
          </w:tcPr>
          <w:p>
            <w:r>
              <w:rPr>
                <w:rFonts w:ascii="Calibri" w:cs="Calibri" w:eastAsia="Calibri" w:hAnsi="Calibri"/>
                <w:color w:val="222222"/>
                <w:sz w:val="19"/>
                <w:szCs w:val="19"/>
              </w:rPr>
              <w:t xml:space="preserve">1–2 weeks</w:t>
            </w:r>
          </w:p>
        </w:tc>
      </w:tr>
      <w:tr>
        <w:tc>
          <w:tcPr>
            <w:tcW w:type="pct" w:w="70%"/>
            <w:shd w:fill="FFFFFF" w:val="clear"/>
            <w:tcMar>
              <w:top w:type="dxa" w:w="80"/>
              <w:left w:type="dxa" w:w="120"/>
              <w:bottom w:type="dxa" w:w="80"/>
              <w:right w:type="dxa" w:w="120"/>
            </w:tcMar>
          </w:tcPr>
          <w:p>
            <w:r>
              <w:rPr>
                <w:rFonts w:ascii="Calibri" w:cs="Calibri" w:eastAsia="Calibri" w:hAnsi="Calibri"/>
                <w:color w:val="222222"/>
                <w:sz w:val="19"/>
                <w:szCs w:val="19"/>
              </w:rPr>
              <w:t xml:space="preserve">Phase 5 — UAT &amp; Corrections</w:t>
            </w:r>
          </w:p>
        </w:tc>
        <w:tc>
          <w:tcPr>
            <w:tcW w:type="pct" w:w="30%"/>
            <w:shd w:fill="FFFFFF" w:val="clear"/>
            <w:tcMar>
              <w:top w:type="dxa" w:w="80"/>
              <w:left w:type="dxa" w:w="120"/>
              <w:bottom w:type="dxa" w:w="80"/>
              <w:right w:type="dxa" w:w="120"/>
            </w:tcMar>
          </w:tcPr>
          <w:p>
            <w:r>
              <w:rPr>
                <w:rFonts w:ascii="Calibri" w:cs="Calibri" w:eastAsia="Calibri" w:hAnsi="Calibri"/>
                <w:color w:val="222222"/>
                <w:sz w:val="19"/>
                <w:szCs w:val="19"/>
              </w:rPr>
              <w:t xml:space="preserve">1 week</w:t>
            </w:r>
          </w:p>
        </w:tc>
      </w:tr>
      <w:tr>
        <w:tc>
          <w:tcPr>
            <w:tcW w:type="pct" w:w="70%"/>
            <w:shd w:fill="F7F7F7" w:val="clear"/>
            <w:tcMar>
              <w:top w:type="dxa" w:w="80"/>
              <w:left w:type="dxa" w:w="120"/>
              <w:bottom w:type="dxa" w:w="80"/>
              <w:right w:type="dxa" w:w="120"/>
            </w:tcMar>
          </w:tcPr>
          <w:p>
            <w:r>
              <w:rPr>
                <w:rFonts w:ascii="Calibri" w:cs="Calibri" w:eastAsia="Calibri" w:hAnsi="Calibri"/>
                <w:color w:val="222222"/>
                <w:sz w:val="19"/>
                <w:szCs w:val="19"/>
              </w:rPr>
              <w:t xml:space="preserve">Phase 6 — Training &amp; Go-Live</w:t>
            </w:r>
          </w:p>
        </w:tc>
        <w:tc>
          <w:tcPr>
            <w:tcW w:type="pct" w:w="30%"/>
            <w:shd w:fill="F7F7F7" w:val="clear"/>
            <w:tcMar>
              <w:top w:type="dxa" w:w="80"/>
              <w:left w:type="dxa" w:w="120"/>
              <w:bottom w:type="dxa" w:w="80"/>
              <w:right w:type="dxa" w:w="120"/>
            </w:tcMar>
          </w:tcPr>
          <w:p>
            <w:r>
              <w:rPr>
                <w:rFonts w:ascii="Calibri" w:cs="Calibri" w:eastAsia="Calibri" w:hAnsi="Calibri"/>
                <w:color w:val="222222"/>
                <w:sz w:val="19"/>
                <w:szCs w:val="19"/>
              </w:rPr>
              <w:t xml:space="preserve">1 week</w:t>
            </w:r>
          </w:p>
        </w:tc>
      </w:tr>
    </w:tbl>
    <w:p>
      <w:pPr>
        <w:spacing w:after="40"/>
      </w:pPr>
      <w:r>
        <w:rPr>
          <w:rFonts w:ascii="Calibri" w:cs="Calibri" w:eastAsia="Calibri" w:hAnsi="Calibri"/>
          <w:i/>
          <w:iCs/>
          <w:color w:val="222222"/>
          <w:sz w:val="21"/>
          <w:szCs w:val="21"/>
        </w:rPr>
        <w:t xml:space="preserve">Timeline is dependent on timely availability of master data, feedback, approvals and client-side resources.</w:t>
      </w:r>
    </w:p>
    <w:p>
      <w:pPr>
        <w:sectPr>
          <w:headerReference w:type="default" r:id="rId13"/>
          <w:footerReference w:type="default" r:id="rId14"/>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04  </w:t>
      </w:r>
      <w:r>
        <w:rPr>
          <w:rFonts w:ascii="Calibri" w:cs="Calibri" w:eastAsia="Calibri" w:hAnsi="Calibri"/>
          <w:b/>
          <w:bCs/>
          <w:color w:val="172A6C"/>
          <w:sz w:val="30"/>
          <w:szCs w:val="30"/>
        </w:rPr>
        <w:t xml:space="preserve">Commercial Proposal</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300"/>
        <w:gridCol w:w="2700"/>
      </w:tblGrid>
      <w:tr>
        <w:trPr>
          <w:tblHeader/>
        </w:trPr>
        <w:tc>
          <w:tcPr>
            <w:tcW w:type="pct" w:w="70%"/>
            <w:shd w:fill="172A6C"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pct" w:w="30%"/>
            <w:shd w:fill="172A6C" w:val="clear"/>
            <w:tcMar>
              <w:top w:type="dxa" w:w="100"/>
              <w:left w:type="dxa" w:w="120"/>
              <w:bottom w:type="dxa" w:w="100"/>
              <w:right w:type="dxa" w:w="120"/>
            </w:tcMar>
          </w:tcPr>
          <w:p>
            <w:pPr>
              <w:jc w:val="right"/>
            </w:pPr>
            <w:r>
              <w:rPr>
                <w:rFonts w:ascii="Calibri" w:cs="Calibri" w:eastAsia="Calibri" w:hAnsi="Calibri"/>
                <w:b/>
                <w:bCs/>
                <w:color w:val="FFFFFF"/>
                <w:sz w:val="20"/>
                <w:szCs w:val="20"/>
              </w:rPr>
              <w:t xml:space="preserve">Amount (₹)</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ERP Application Development</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1,20,000</w:t>
            </w:r>
          </w:p>
        </w:tc>
      </w:tr>
      <w:tr>
        <w:tc>
          <w:tcPr>
            <w:tcW w:type="pct" w:w="70%"/>
            <w:shd w:fill="F7F7F7"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Manufacturing &amp; Production Module</w:t>
            </w:r>
          </w:p>
        </w:tc>
        <w:tc>
          <w:tcPr>
            <w:tcW w:type="pct" w:w="30%"/>
            <w:shd w:fill="F7F7F7"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40,000</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Inventory &amp; Purchase Module</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30,000</w:t>
            </w:r>
          </w:p>
        </w:tc>
      </w:tr>
      <w:tr>
        <w:tc>
          <w:tcPr>
            <w:tcW w:type="pct" w:w="70%"/>
            <w:shd w:fill="F7F7F7"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Sales &amp; Dispatch Module</w:t>
            </w:r>
          </w:p>
        </w:tc>
        <w:tc>
          <w:tcPr>
            <w:tcW w:type="pct" w:w="30%"/>
            <w:shd w:fill="F7F7F7"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20,000</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HR &amp; Payroll Module</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20,000</w:t>
            </w:r>
          </w:p>
        </w:tc>
      </w:tr>
      <w:tr>
        <w:tc>
          <w:tcPr>
            <w:tcW w:type="pct" w:w="70%"/>
            <w:shd w:fill="F7F7F7"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Reports &amp; Access Control</w:t>
            </w:r>
          </w:p>
        </w:tc>
        <w:tc>
          <w:tcPr>
            <w:tcW w:type="pct" w:w="30%"/>
            <w:shd w:fill="F7F7F7"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15,000</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Deployment, Training &amp; Implementation</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15,000</w:t>
            </w:r>
          </w:p>
        </w:tc>
      </w:tr>
      <w:tr>
        <w:tc>
          <w:tcPr>
            <w:tcW w:type="pct" w:w="70%"/>
            <w:shd w:fill="F7F7F7" w:val="clear"/>
            <w:tcMar>
              <w:top w:type="dxa" w:w="90"/>
              <w:left w:type="dxa" w:w="120"/>
              <w:bottom w:type="dxa" w:w="90"/>
              <w:right w:type="dxa" w:w="120"/>
            </w:tcMar>
          </w:tcPr>
          <w:p>
            <w:r>
              <w:rPr>
                <w:rFonts w:ascii="Calibri" w:cs="Calibri" w:eastAsia="Calibri" w:hAnsi="Calibri"/>
                <w:b/>
                <w:bCs/>
                <w:color w:val="222222"/>
                <w:sz w:val="20"/>
                <w:szCs w:val="20"/>
              </w:rPr>
              <w:t xml:space="preserve">Total Project Value</w:t>
            </w:r>
          </w:p>
        </w:tc>
        <w:tc>
          <w:tcPr>
            <w:tcW w:type="pct" w:w="30%"/>
            <w:shd w:fill="F7F7F7" w:val="clear"/>
            <w:tcMar>
              <w:top w:type="dxa" w:w="90"/>
              <w:left w:type="dxa" w:w="120"/>
              <w:bottom w:type="dxa" w:w="90"/>
              <w:right w:type="dxa" w:w="120"/>
            </w:tcMar>
          </w:tcPr>
          <w:p>
            <w:pPr>
              <w:jc w:val="right"/>
            </w:pPr>
            <w:r>
              <w:rPr>
                <w:rFonts w:ascii="Calibri" w:cs="Calibri" w:eastAsia="Calibri" w:hAnsi="Calibri"/>
                <w:b/>
                <w:bCs/>
                <w:color w:val="222222"/>
                <w:sz w:val="20"/>
                <w:szCs w:val="20"/>
              </w:rPr>
              <w:t xml:space="preserve">2,60,000</w:t>
            </w:r>
          </w:p>
        </w:tc>
      </w:tr>
      <w:tr>
        <w:tc>
          <w:tcPr>
            <w:tcW w:type="pct" w:w="70%"/>
            <w:shd w:fill="EFE7D8" w:val="clear"/>
            <w:tcMar>
              <w:top w:type="dxa" w:w="90"/>
              <w:left w:type="dxa" w:w="120"/>
              <w:bottom w:type="dxa" w:w="90"/>
              <w:right w:type="dxa" w:w="120"/>
            </w:tcMar>
          </w:tcPr>
          <w:p>
            <w:r>
              <w:rPr>
                <w:rFonts w:ascii="Calibri" w:cs="Calibri" w:eastAsia="Calibri" w:hAnsi="Calibri"/>
                <w:b/>
                <w:bCs/>
                <w:color w:val="172A6C"/>
                <w:sz w:val="20"/>
                <w:szCs w:val="20"/>
              </w:rPr>
              <w:t xml:space="preserve">Special Project Price</w:t>
            </w:r>
          </w:p>
        </w:tc>
        <w:tc>
          <w:tcPr>
            <w:tcW w:type="pct" w:w="30%"/>
            <w:shd w:fill="EFE7D8" w:val="clear"/>
            <w:tcMar>
              <w:top w:type="dxa" w:w="90"/>
              <w:left w:type="dxa" w:w="120"/>
              <w:bottom w:type="dxa" w:w="90"/>
              <w:right w:type="dxa" w:w="120"/>
            </w:tcMar>
          </w:tcPr>
          <w:p>
            <w:pPr>
              <w:jc w:val="right"/>
            </w:pPr>
            <w:r>
              <w:rPr>
                <w:rFonts w:ascii="Calibri" w:cs="Calibri" w:eastAsia="Calibri" w:hAnsi="Calibri"/>
                <w:b/>
                <w:bCs/>
                <w:color w:val="EA6B23"/>
                <w:sz w:val="20"/>
                <w:szCs w:val="20"/>
              </w:rPr>
              <w:t xml:space="preserve">1,50,000</w:t>
            </w:r>
          </w:p>
        </w:tc>
      </w:tr>
    </w:tbl>
    <w:p>
      <w:pPr>
        <w:spacing w:after="80" w:before="200"/>
      </w:pPr>
      <w:r>
        <w:rPr>
          <w:rFonts w:ascii="Calibri" w:cs="Calibri" w:eastAsia="Calibri" w:hAnsi="Calibri"/>
          <w:b/>
          <w:bCs/>
          <w:color w:val="222222"/>
          <w:sz w:val="20"/>
          <w:szCs w:val="20"/>
        </w:rPr>
        <w:t xml:space="preserve">Project Value: </w:t>
      </w:r>
      <w:r>
        <w:rPr>
          <w:rFonts w:ascii="Calibri" w:cs="Calibri" w:eastAsia="Calibri" w:hAnsi="Calibri"/>
          <w:color w:val="222222"/>
          <w:sz w:val="20"/>
          <w:szCs w:val="20"/>
        </w:rPr>
        <w:t xml:space="preserve">₹1,50,000</w:t>
      </w:r>
    </w:p>
    <w:p>
      <w:pPr>
        <w:spacing w:after="80"/>
      </w:pPr>
      <w:r>
        <w:rPr>
          <w:rFonts w:ascii="Calibri" w:cs="Calibri" w:eastAsia="Calibri" w:hAnsi="Calibri"/>
          <w:b/>
          <w:bCs/>
          <w:color w:val="222222"/>
          <w:sz w:val="20"/>
          <w:szCs w:val="20"/>
        </w:rPr>
        <w:t xml:space="preserve">GST: </w:t>
      </w:r>
      <w:r>
        <w:rPr>
          <w:rFonts w:ascii="Calibri" w:cs="Calibri" w:eastAsia="Calibri" w:hAnsi="Calibri"/>
          <w:color w:val="222222"/>
          <w:sz w:val="20"/>
          <w:szCs w:val="20"/>
        </w:rPr>
        <w:t xml:space="preserve">Extra as applicable</w:t>
      </w:r>
    </w:p>
    <w:p>
      <w:pPr>
        <w:spacing w:after="200"/>
      </w:pPr>
      <w:r>
        <w:rPr>
          <w:rFonts w:ascii="Calibri" w:cs="Calibri" w:eastAsia="Calibri" w:hAnsi="Calibri"/>
          <w:b/>
          <w:bCs/>
          <w:color w:val="222222"/>
          <w:sz w:val="20"/>
          <w:szCs w:val="20"/>
        </w:rPr>
        <w:t xml:space="preserve">Total Payable: </w:t>
      </w:r>
      <w:r>
        <w:rPr>
          <w:rFonts w:ascii="Calibri" w:cs="Calibri" w:eastAsia="Calibri" w:hAnsi="Calibri"/>
          <w:b/>
          <w:bCs/>
          <w:color w:val="172A6C"/>
          <w:sz w:val="20"/>
          <w:szCs w:val="20"/>
        </w:rPr>
        <w:t xml:space="preserve">₹1,50,000 + applicable GST</w:t>
      </w:r>
    </w:p>
    <w:p>
      <w:pPr>
        <w:spacing w:after="160"/>
      </w:pPr>
      <w:r>
        <w:rPr>
          <w:rFonts w:ascii="Calibri" w:cs="Calibri" w:eastAsia="Calibri" w:hAnsi="Calibri"/>
          <w:i/>
          <w:iCs/>
          <w:color w:val="222222"/>
          <w:sz w:val="21"/>
          <w:szCs w:val="21"/>
        </w:rPr>
        <w:t xml:space="preserve">GSTIN: [GSTIN Number]        Registered Address: [Company Registered Address]</w:t>
      </w:r>
    </w:p>
    <w:p>
      <w:pPr>
        <w:spacing w:after="80" w:before="160"/>
      </w:pPr>
      <w:r>
        <w:rPr>
          <w:rFonts w:ascii="Calibri" w:cs="Calibri" w:eastAsia="Calibri" w:hAnsi="Calibri"/>
          <w:b/>
          <w:bCs/>
          <w:color w:val="172A6C"/>
          <w:sz w:val="22"/>
          <w:szCs w:val="22"/>
        </w:rPr>
        <w:t xml:space="preserve">Payment Schedule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6300"/>
        <w:gridCol w:w="2700"/>
      </w:tblGrid>
      <w:tr>
        <w:trPr>
          <w:tblHeader/>
        </w:trPr>
        <w:tc>
          <w:tcPr>
            <w:tcW w:type="pct" w:w="70%"/>
            <w:shd w:fill="172A6C" w:val="clear"/>
            <w:tcMar>
              <w:top w:type="dxa" w:w="100"/>
              <w:left w:type="dxa" w:w="120"/>
              <w:bottom w:type="dxa" w:w="100"/>
              <w:right w:type="dxa" w:w="120"/>
            </w:tcMar>
          </w:tcPr>
          <w:p>
            <w:r>
              <w:rPr>
                <w:rFonts w:ascii="Calibri" w:cs="Calibri" w:eastAsia="Calibri" w:hAnsi="Calibri"/>
                <w:b/>
                <w:bCs/>
                <w:color w:val="FFFFFF"/>
                <w:sz w:val="20"/>
                <w:szCs w:val="20"/>
              </w:rPr>
              <w:t xml:space="preserve">Milestone</w:t>
            </w:r>
          </w:p>
        </w:tc>
        <w:tc>
          <w:tcPr>
            <w:tcW w:type="pct" w:w="30%"/>
            <w:shd w:fill="172A6C" w:val="clear"/>
            <w:tcMar>
              <w:top w:type="dxa" w:w="100"/>
              <w:left w:type="dxa" w:w="120"/>
              <w:bottom w:type="dxa" w:w="100"/>
              <w:right w:type="dxa" w:w="120"/>
            </w:tcMar>
          </w:tcPr>
          <w:p>
            <w:pPr>
              <w:jc w:val="right"/>
            </w:pPr>
            <w:r>
              <w:rPr>
                <w:rFonts w:ascii="Calibri" w:cs="Calibri" w:eastAsia="Calibri" w:hAnsi="Calibri"/>
                <w:b/>
                <w:bCs/>
                <w:color w:val="FFFFFF"/>
                <w:sz w:val="20"/>
                <w:szCs w:val="20"/>
              </w:rPr>
              <w:t xml:space="preserve">% of Total</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Advance — on project confirmation</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30%</w:t>
            </w:r>
          </w:p>
        </w:tc>
      </w:tr>
      <w:tr>
        <w:tc>
          <w:tcPr>
            <w:tcW w:type="pct" w:w="70%"/>
            <w:shd w:fill="F7F7F7"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Core modules completed</w:t>
            </w:r>
          </w:p>
        </w:tc>
        <w:tc>
          <w:tcPr>
            <w:tcW w:type="pct" w:w="30%"/>
            <w:shd w:fill="F7F7F7"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30%</w:t>
            </w:r>
          </w:p>
        </w:tc>
      </w:tr>
      <w:tr>
        <w:tc>
          <w:tcPr>
            <w:tcW w:type="pct" w:w="70%"/>
            <w:shd w:fill="FFFFFF"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UAT deployment</w:t>
            </w:r>
          </w:p>
        </w:tc>
        <w:tc>
          <w:tcPr>
            <w:tcW w:type="pct" w:w="30%"/>
            <w:shd w:fill="FFFFFF"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25%</w:t>
            </w:r>
          </w:p>
        </w:tc>
      </w:tr>
      <w:tr>
        <w:tc>
          <w:tcPr>
            <w:tcW w:type="pct" w:w="70%"/>
            <w:shd w:fill="F7F7F7" w:val="clear"/>
            <w:tcMar>
              <w:top w:type="dxa" w:w="90"/>
              <w:left w:type="dxa" w:w="120"/>
              <w:bottom w:type="dxa" w:w="90"/>
              <w:right w:type="dxa" w:w="120"/>
            </w:tcMar>
          </w:tcPr>
          <w:p>
            <w:r>
              <w:rPr>
                <w:rFonts w:ascii="Calibri" w:cs="Calibri" w:eastAsia="Calibri" w:hAnsi="Calibri"/>
                <w:b w:val="false"/>
                <w:bCs w:val="false"/>
                <w:color w:val="222222"/>
                <w:sz w:val="20"/>
                <w:szCs w:val="20"/>
              </w:rPr>
              <w:t xml:space="preserve">Production go-live</w:t>
            </w:r>
          </w:p>
        </w:tc>
        <w:tc>
          <w:tcPr>
            <w:tcW w:type="pct" w:w="30%"/>
            <w:shd w:fill="F7F7F7" w:val="clear"/>
            <w:tcMar>
              <w:top w:type="dxa" w:w="90"/>
              <w:left w:type="dxa" w:w="120"/>
              <w:bottom w:type="dxa" w:w="90"/>
              <w:right w:type="dxa" w:w="120"/>
            </w:tcMar>
          </w:tcPr>
          <w:p>
            <w:pPr>
              <w:jc w:val="right"/>
            </w:pPr>
            <w:r>
              <w:rPr>
                <w:rFonts w:ascii="Calibri" w:cs="Calibri" w:eastAsia="Calibri" w:hAnsi="Calibri"/>
                <w:b w:val="false"/>
                <w:bCs w:val="false"/>
                <w:color w:val="222222"/>
                <w:sz w:val="20"/>
                <w:szCs w:val="20"/>
              </w:rPr>
              <w:t xml:space="preserve">15%</w:t>
            </w:r>
          </w:p>
        </w:tc>
      </w:tr>
    </w:tbl>
    <w:p>
      <w:pPr>
        <w:spacing w:after="40"/>
      </w:pPr>
      <w:r>
        <w:rPr>
          <w:rFonts w:ascii="Calibri" w:cs="Calibri" w:eastAsia="Calibri" w:hAnsi="Calibri"/>
          <w:i/>
          <w:iCs/>
          <w:color w:val="222222"/>
          <w:sz w:val="21"/>
          <w:szCs w:val="21"/>
        </w:rPr>
        <w:t xml:space="preserve">Production deployment, source-code handover, and final documentation will be completed after receipt of all outstanding project payments.</w:t>
      </w:r>
    </w:p>
    <w:p>
      <w:pPr>
        <w:sectPr>
          <w:headerReference w:type="default" r:id="rId15"/>
          <w:footerReference w:type="default" r:id="rId16"/>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05  </w:t>
      </w:r>
      <w:r>
        <w:rPr>
          <w:rFonts w:ascii="Calibri" w:cs="Calibri" w:eastAsia="Calibri" w:hAnsi="Calibri"/>
          <w:b/>
          <w:bCs/>
          <w:color w:val="172A6C"/>
          <w:sz w:val="30"/>
          <w:szCs w:val="30"/>
        </w:rPr>
        <w:t xml:space="preserve">Support &amp; Maintenance</w:t>
      </w:r>
    </w:p>
    <w:p>
      <w:pPr>
        <w:spacing w:after="160"/>
      </w:pPr>
      <w:r>
        <w:rPr>
          <w:rFonts w:ascii="Calibri" w:cs="Calibri" w:eastAsia="Calibri" w:hAnsi="Calibri"/>
          <w:i w:val="false"/>
          <w:iCs w:val="false"/>
          <w:color w:val="222222"/>
          <w:sz w:val="21"/>
          <w:szCs w:val="21"/>
        </w:rPr>
        <w:t xml:space="preserve">Post-implementation support is provided for 6 months from the go-live date.</w:t>
      </w:r>
    </w:p>
    <w:tbl>
      <w:tblPr>
        <w:tblW w:type="pct" w:w="100%"/>
        <w:tblBorders>
          <w:top w:val="none"/>
          <w:left w:val="none"/>
          <w:bottom w:val="none"/>
          <w:right w:val="none"/>
          <w:insideH w:val="none"/>
          <w:insideV w:val="none"/>
        </w:tblBorders>
      </w:tblPr>
      <w:tblGrid>
        <w:gridCol w:w="100"/>
        <w:gridCol w:w="100"/>
      </w:tblGrid>
      <w:tr>
        <w:tc>
          <w:tcPr>
            <w:tcW w:type="pct" w:w="50%"/>
            <w:tcMar>
              <w:right w:type="dxa" w:w="200"/>
            </w:tcMar>
          </w:tcPr>
          <w:p>
            <w:pPr>
              <w:spacing w:after="60"/>
            </w:pPr>
            <w:r>
              <w:rPr>
                <w:rFonts w:ascii="Calibri" w:cs="Calibri" w:eastAsia="Calibri" w:hAnsi="Calibri"/>
                <w:b/>
                <w:bCs/>
                <w:color w:val="2E7D32"/>
                <w:sz w:val="20"/>
                <w:szCs w:val="20"/>
              </w:rPr>
              <w:t xml:space="preserve">Included</w:t>
            </w:r>
          </w:p>
          <w:p>
            <w:pPr>
              <w:pStyle w:val="ListParagraph"/>
              <w:numPr>
                <w:ilvl w:val="0"/>
                <w:numId w:val="2"/>
              </w:numPr>
              <w:spacing w:after="40"/>
            </w:pPr>
            <w:r>
              <w:rPr>
                <w:rFonts w:ascii="Calibri" w:cs="Calibri" w:eastAsia="Calibri" w:hAnsi="Calibri"/>
                <w:color w:val="222222"/>
                <w:sz w:val="19"/>
                <w:szCs w:val="19"/>
              </w:rPr>
              <w:t xml:space="preserve">Bug fixing</w:t>
            </w:r>
          </w:p>
          <w:p>
            <w:pPr>
              <w:pStyle w:val="ListParagraph"/>
              <w:numPr>
                <w:ilvl w:val="0"/>
                <w:numId w:val="2"/>
              </w:numPr>
              <w:spacing w:after="40"/>
            </w:pPr>
            <w:r>
              <w:rPr>
                <w:rFonts w:ascii="Calibri" w:cs="Calibri" w:eastAsia="Calibri" w:hAnsi="Calibri"/>
                <w:color w:val="222222"/>
                <w:sz w:val="19"/>
                <w:szCs w:val="19"/>
              </w:rPr>
              <w:t xml:space="preserve">Issues in agreed functionality</w:t>
            </w:r>
          </w:p>
          <w:p>
            <w:pPr>
              <w:pStyle w:val="ListParagraph"/>
              <w:numPr>
                <w:ilvl w:val="0"/>
                <w:numId w:val="2"/>
              </w:numPr>
              <w:spacing w:after="40"/>
            </w:pPr>
            <w:r>
              <w:rPr>
                <w:rFonts w:ascii="Calibri" w:cs="Calibri" w:eastAsia="Calibri" w:hAnsi="Calibri"/>
                <w:color w:val="222222"/>
                <w:sz w:val="19"/>
                <w:szCs w:val="19"/>
              </w:rPr>
              <w:t xml:space="preserve">Basic user assistance</w:t>
            </w:r>
          </w:p>
          <w:p>
            <w:pPr>
              <w:pStyle w:val="ListParagraph"/>
              <w:numPr>
                <w:ilvl w:val="0"/>
                <w:numId w:val="2"/>
              </w:numPr>
              <w:spacing w:after="40"/>
            </w:pPr>
            <w:r>
              <w:rPr>
                <w:rFonts w:ascii="Calibri" w:cs="Calibri" w:eastAsia="Calibri" w:hAnsi="Calibri"/>
                <w:color w:val="222222"/>
                <w:sz w:val="19"/>
                <w:szCs w:val="19"/>
              </w:rPr>
              <w:t xml:space="preserve">Minor configuration corrections</w:t>
            </w:r>
          </w:p>
          <w:p>
            <w:pPr>
              <w:pStyle w:val="ListParagraph"/>
              <w:numPr>
                <w:ilvl w:val="0"/>
                <w:numId w:val="2"/>
              </w:numPr>
              <w:spacing w:after="40"/>
            </w:pPr>
            <w:r>
              <w:rPr>
                <w:rFonts w:ascii="Calibri" w:cs="Calibri" w:eastAsia="Calibri" w:hAnsi="Calibri"/>
                <w:color w:val="222222"/>
                <w:sz w:val="19"/>
                <w:szCs w:val="19"/>
              </w:rPr>
              <w:t xml:space="preserve">Production support</w:t>
            </w:r>
          </w:p>
        </w:tc>
        <w:tc>
          <w:tcPr>
            <w:tcW w:type="pct" w:w="50%"/>
            <w:tcMar>
              <w:left w:type="dxa" w:w="200"/>
            </w:tcMar>
          </w:tcPr>
          <w:p>
            <w:pPr>
              <w:spacing w:after="60"/>
            </w:pPr>
            <w:r>
              <w:rPr>
                <w:rFonts w:ascii="Calibri" w:cs="Calibri" w:eastAsia="Calibri" w:hAnsi="Calibri"/>
                <w:b/>
                <w:bCs/>
                <w:color w:val="B23B2E"/>
                <w:sz w:val="20"/>
                <w:szCs w:val="20"/>
              </w:rPr>
              <w:t xml:space="preserve">Not Included</w:t>
            </w:r>
          </w:p>
          <w:p>
            <w:pPr>
              <w:pStyle w:val="ListParagraph"/>
              <w:numPr>
                <w:ilvl w:val="0"/>
                <w:numId w:val="2"/>
              </w:numPr>
              <w:spacing w:after="40"/>
            </w:pPr>
            <w:r>
              <w:rPr>
                <w:rFonts w:ascii="Calibri" w:cs="Calibri" w:eastAsia="Calibri" w:hAnsi="Calibri"/>
                <w:color w:val="222222"/>
                <w:sz w:val="19"/>
                <w:szCs w:val="19"/>
              </w:rPr>
              <w:t xml:space="preserve">New features / reports / integrations</w:t>
            </w:r>
          </w:p>
          <w:p>
            <w:pPr>
              <w:pStyle w:val="ListParagraph"/>
              <w:numPr>
                <w:ilvl w:val="0"/>
                <w:numId w:val="2"/>
              </w:numPr>
              <w:spacing w:after="40"/>
            </w:pPr>
            <w:r>
              <w:rPr>
                <w:rFonts w:ascii="Calibri" w:cs="Calibri" w:eastAsia="Calibri" w:hAnsi="Calibri"/>
                <w:color w:val="222222"/>
                <w:sz w:val="19"/>
                <w:szCs w:val="19"/>
              </w:rPr>
              <w:t xml:space="preserve">Major UI changes</w:t>
            </w:r>
          </w:p>
          <w:p>
            <w:pPr>
              <w:pStyle w:val="ListParagraph"/>
              <w:numPr>
                <w:ilvl w:val="0"/>
                <w:numId w:val="2"/>
              </w:numPr>
              <w:spacing w:after="40"/>
            </w:pPr>
            <w:r>
              <w:rPr>
                <w:rFonts w:ascii="Calibri" w:cs="Calibri" w:eastAsia="Calibri" w:hAnsi="Calibri"/>
                <w:color w:val="222222"/>
                <w:sz w:val="19"/>
                <w:szCs w:val="19"/>
              </w:rPr>
              <w:t xml:space="preserve">New workflows</w:t>
            </w:r>
          </w:p>
          <w:p>
            <w:pPr>
              <w:pStyle w:val="ListParagraph"/>
              <w:numPr>
                <w:ilvl w:val="0"/>
                <w:numId w:val="2"/>
              </w:numPr>
              <w:spacing w:after="40"/>
            </w:pPr>
            <w:r>
              <w:rPr>
                <w:rFonts w:ascii="Calibri" w:cs="Calibri" w:eastAsia="Calibri" w:hAnsi="Calibri"/>
                <w:color w:val="222222"/>
                <w:sz w:val="19"/>
                <w:szCs w:val="19"/>
              </w:rPr>
              <w:t xml:space="preserve">Third-party service charges</w:t>
            </w:r>
          </w:p>
          <w:p>
            <w:pPr>
              <w:pStyle w:val="ListParagraph"/>
              <w:numPr>
                <w:ilvl w:val="0"/>
                <w:numId w:val="2"/>
              </w:numPr>
              <w:spacing w:after="40"/>
            </w:pPr>
            <w:r>
              <w:rPr>
                <w:rFonts w:ascii="Calibri" w:cs="Calibri" w:eastAsia="Calibri" w:hAnsi="Calibri"/>
                <w:color w:val="222222"/>
                <w:sz w:val="19"/>
                <w:szCs w:val="19"/>
              </w:rPr>
              <w:t xml:space="preserve">Infrastructure or hardware changes</w:t>
            </w:r>
          </w:p>
        </w:tc>
      </w:tr>
    </w:tbl>
    <w:p>
      <w:pPr>
        <w:spacing w:after="100"/>
      </w:pPr>
      <w:r>
        <w:rPr>
          <w:rFonts w:ascii="Calibri" w:cs="Calibri" w:eastAsia="Calibri" w:hAnsi="Calibri"/>
          <w:i/>
          <w:iCs/>
          <w:color w:val="222222"/>
          <w:sz w:val="21"/>
          <w:szCs w:val="21"/>
        </w:rPr>
        <w:t xml:space="preserve">Support does not include changes resulting from modifications made by third-party developers or unauthorized changes to the application or database.</w:t>
      </w:r>
    </w:p>
    <w:p>
      <w:pPr>
        <w:spacing w:after="80" w:before="160"/>
      </w:pPr>
      <w:r>
        <w:rPr>
          <w:rFonts w:ascii="Calibri" w:cs="Calibri" w:eastAsia="Calibri" w:hAnsi="Calibri"/>
          <w:b/>
          <w:bCs/>
          <w:color w:val="172A6C"/>
          <w:sz w:val="22"/>
          <w:szCs w:val="22"/>
        </w:rPr>
        <w:t xml:space="preserve">Annual Maintenance Contract</w:t>
      </w:r>
    </w:p>
    <w:p>
      <w:pPr>
        <w:spacing w:after="160"/>
      </w:pPr>
      <w:r>
        <w:rPr>
          <w:rFonts w:ascii="Calibri" w:cs="Calibri" w:eastAsia="Calibri" w:hAnsi="Calibri"/>
          <w:i w:val="false"/>
          <w:iCs w:val="false"/>
          <w:color w:val="222222"/>
          <w:sz w:val="21"/>
          <w:szCs w:val="21"/>
        </w:rPr>
        <w:t xml:space="preserve">An Annual Maintenance Contract at ₹[XX,XXX]/year is available once the free support period ends.</w:t>
      </w:r>
    </w:p>
    <w:p>
      <w:pPr>
        <w:sectPr>
          <w:headerReference w:type="default" r:id="rId17"/>
          <w:footerReference w:type="default" r:id="rId18"/>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06  </w:t>
      </w:r>
      <w:r>
        <w:rPr>
          <w:rFonts w:ascii="Calibri" w:cs="Calibri" w:eastAsia="Calibri" w:hAnsi="Calibri"/>
          <w:b/>
          <w:bCs/>
          <w:color w:val="172A6C"/>
          <w:sz w:val="30"/>
          <w:szCs w:val="30"/>
        </w:rPr>
        <w:t xml:space="preserve">Assumptions, Exclusions &amp; Responsibilities</w:t>
      </w:r>
    </w:p>
    <w:p>
      <w:pPr>
        <w:spacing w:after="80" w:before="160"/>
      </w:pPr>
      <w:r>
        <w:rPr>
          <w:rFonts w:ascii="Calibri" w:cs="Calibri" w:eastAsia="Calibri" w:hAnsi="Calibri"/>
          <w:b/>
          <w:bCs/>
          <w:color w:val="172A6C"/>
          <w:sz w:val="22"/>
          <w:szCs w:val="22"/>
        </w:rPr>
        <w:t xml:space="preserve">Scope Summary</w:t>
      </w:r>
    </w:p>
    <w:tbl>
      <w:tblPr>
        <w:tblW w:type="pct" w:w="100%"/>
        <w:tblBorders>
          <w:top w:val="none"/>
          <w:left w:val="none"/>
          <w:bottom w:val="none"/>
          <w:right w:val="none"/>
          <w:insideH w:val="none"/>
          <w:insideV w:val="none"/>
        </w:tblBorders>
      </w:tblPr>
      <w:tblGrid>
        <w:gridCol w:w="100"/>
        <w:gridCol w:w="100"/>
      </w:tblGrid>
      <w:tr>
        <w:tc>
          <w:tcPr>
            <w:tcW w:type="pct" w:w="50%"/>
            <w:tcMar>
              <w:right w:type="dxa" w:w="200"/>
            </w:tcMar>
          </w:tcPr>
          <w:p>
            <w:pPr>
              <w:spacing w:after="60"/>
            </w:pPr>
            <w:r>
              <w:rPr>
                <w:rFonts w:ascii="Calibri" w:cs="Calibri" w:eastAsia="Calibri" w:hAnsi="Calibri"/>
                <w:b/>
                <w:bCs/>
                <w:color w:val="2E7D32"/>
                <w:sz w:val="20"/>
                <w:szCs w:val="20"/>
              </w:rPr>
              <w:t xml:space="preserve">Within Scope</w:t>
            </w:r>
          </w:p>
          <w:p>
            <w:pPr>
              <w:pStyle w:val="ListParagraph"/>
              <w:numPr>
                <w:ilvl w:val="0"/>
                <w:numId w:val="2"/>
              </w:numPr>
              <w:spacing w:after="40"/>
            </w:pPr>
            <w:r>
              <w:rPr>
                <w:rFonts w:ascii="Calibri" w:cs="Calibri" w:eastAsia="Calibri" w:hAnsi="Calibri"/>
                <w:color w:val="222222"/>
                <w:sz w:val="19"/>
                <w:szCs w:val="19"/>
              </w:rPr>
              <w:t xml:space="preserve">Full ERP customization across the modules listed above</w:t>
            </w:r>
          </w:p>
          <w:p>
            <w:pPr>
              <w:pStyle w:val="ListParagraph"/>
              <w:numPr>
                <w:ilvl w:val="0"/>
                <w:numId w:val="2"/>
              </w:numPr>
              <w:spacing w:after="40"/>
            </w:pPr>
            <w:r>
              <w:rPr>
                <w:rFonts w:ascii="Calibri" w:cs="Calibri" w:eastAsia="Calibri" w:hAnsi="Calibri"/>
                <w:color w:val="222222"/>
                <w:sz w:val="19"/>
                <w:szCs w:val="19"/>
              </w:rPr>
              <w:t xml:space="preserve">Role-based access control</w:t>
            </w:r>
          </w:p>
          <w:p>
            <w:pPr>
              <w:pStyle w:val="ListParagraph"/>
              <w:numPr>
                <w:ilvl w:val="0"/>
                <w:numId w:val="2"/>
              </w:numPr>
              <w:spacing w:after="40"/>
            </w:pPr>
            <w:r>
              <w:rPr>
                <w:rFonts w:ascii="Calibri" w:cs="Calibri" w:eastAsia="Calibri" w:hAnsi="Calibri"/>
                <w:color w:val="222222"/>
                <w:sz w:val="19"/>
                <w:szCs w:val="19"/>
              </w:rPr>
              <w:t xml:space="preserve">Master data setup for agreed items and opening balances</w:t>
            </w:r>
          </w:p>
          <w:p>
            <w:pPr>
              <w:pStyle w:val="ListParagraph"/>
              <w:numPr>
                <w:ilvl w:val="0"/>
                <w:numId w:val="2"/>
              </w:numPr>
              <w:spacing w:after="40"/>
            </w:pPr>
            <w:r>
              <w:rPr>
                <w:rFonts w:ascii="Calibri" w:cs="Calibri" w:eastAsia="Calibri" w:hAnsi="Calibri"/>
                <w:color w:val="222222"/>
                <w:sz w:val="19"/>
                <w:szCs w:val="19"/>
              </w:rPr>
              <w:t xml:space="preserve">User training and go-live implementation support</w:t>
            </w:r>
          </w:p>
          <w:p>
            <w:pPr>
              <w:pStyle w:val="ListParagraph"/>
              <w:numPr>
                <w:ilvl w:val="0"/>
                <w:numId w:val="2"/>
              </w:numPr>
              <w:spacing w:after="40"/>
            </w:pPr>
            <w:r>
              <w:rPr>
                <w:rFonts w:ascii="Calibri" w:cs="Calibri" w:eastAsia="Calibri" w:hAnsi="Calibri"/>
                <w:color w:val="222222"/>
                <w:sz w:val="19"/>
                <w:szCs w:val="19"/>
              </w:rPr>
              <w:t xml:space="preserve">6 months of post-implementation support from go-live</w:t>
            </w:r>
          </w:p>
        </w:tc>
        <w:tc>
          <w:tcPr>
            <w:tcW w:type="pct" w:w="50%"/>
            <w:tcMar>
              <w:left w:type="dxa" w:w="200"/>
            </w:tcMar>
          </w:tcPr>
          <w:p>
            <w:pPr>
              <w:spacing w:after="60"/>
            </w:pPr>
            <w:r>
              <w:rPr>
                <w:rFonts w:ascii="Calibri" w:cs="Calibri" w:eastAsia="Calibri" w:hAnsi="Calibri"/>
                <w:b/>
                <w:bCs/>
                <w:color w:val="B23B2E"/>
                <w:sz w:val="20"/>
                <w:szCs w:val="20"/>
              </w:rPr>
              <w:t xml:space="preserve">Outside Scope</w:t>
            </w:r>
          </w:p>
          <w:p>
            <w:pPr>
              <w:pStyle w:val="ListParagraph"/>
              <w:numPr>
                <w:ilvl w:val="0"/>
                <w:numId w:val="2"/>
              </w:numPr>
              <w:spacing w:after="40"/>
            </w:pPr>
            <w:r>
              <w:rPr>
                <w:rFonts w:ascii="Calibri" w:cs="Calibri" w:eastAsia="Calibri" w:hAnsi="Calibri"/>
                <w:color w:val="222222"/>
                <w:sz w:val="19"/>
                <w:szCs w:val="19"/>
              </w:rPr>
              <w:t xml:space="preserve">Mobile application</w:t>
            </w:r>
          </w:p>
          <w:p>
            <w:pPr>
              <w:pStyle w:val="ListParagraph"/>
              <w:numPr>
                <w:ilvl w:val="0"/>
                <w:numId w:val="2"/>
              </w:numPr>
              <w:spacing w:after="40"/>
            </w:pPr>
            <w:r>
              <w:rPr>
                <w:rFonts w:ascii="Calibri" w:cs="Calibri" w:eastAsia="Calibri" w:hAnsi="Calibri"/>
                <w:color w:val="222222"/>
                <w:sz w:val="19"/>
                <w:szCs w:val="19"/>
              </w:rPr>
              <w:t xml:space="preserve">Tally / accounting software integration</w:t>
            </w:r>
          </w:p>
          <w:p>
            <w:pPr>
              <w:pStyle w:val="ListParagraph"/>
              <w:numPr>
                <w:ilvl w:val="0"/>
                <w:numId w:val="2"/>
              </w:numPr>
              <w:spacing w:after="40"/>
            </w:pPr>
            <w:r>
              <w:rPr>
                <w:rFonts w:ascii="Calibri" w:cs="Calibri" w:eastAsia="Calibri" w:hAnsi="Calibri"/>
                <w:color w:val="222222"/>
                <w:sz w:val="19"/>
                <w:szCs w:val="19"/>
              </w:rPr>
              <w:t xml:space="preserve">Biometric or barcode/QR hardware</w:t>
            </w:r>
          </w:p>
          <w:p>
            <w:pPr>
              <w:pStyle w:val="ListParagraph"/>
              <w:numPr>
                <w:ilvl w:val="0"/>
                <w:numId w:val="2"/>
              </w:numPr>
              <w:spacing w:after="40"/>
            </w:pPr>
            <w:r>
              <w:rPr>
                <w:rFonts w:ascii="Calibri" w:cs="Calibri" w:eastAsia="Calibri" w:hAnsi="Calibri"/>
                <w:color w:val="222222"/>
                <w:sz w:val="19"/>
                <w:szCs w:val="19"/>
              </w:rPr>
              <w:t xml:space="preserve">GST e-invoicing, WhatsApp, SMS or email gateway charges</w:t>
            </w:r>
          </w:p>
          <w:p>
            <w:pPr>
              <w:pStyle w:val="ListParagraph"/>
              <w:numPr>
                <w:ilvl w:val="0"/>
                <w:numId w:val="2"/>
              </w:numPr>
              <w:spacing w:after="40"/>
            </w:pPr>
            <w:r>
              <w:rPr>
                <w:rFonts w:ascii="Calibri" w:cs="Calibri" w:eastAsia="Calibri" w:hAnsi="Calibri"/>
                <w:color w:val="222222"/>
                <w:sz w:val="19"/>
                <w:szCs w:val="19"/>
              </w:rPr>
              <w:t xml:space="preserve">Hosting, server, or networking charges</w:t>
            </w:r>
          </w:p>
          <w:p>
            <w:pPr>
              <w:pStyle w:val="ListParagraph"/>
              <w:numPr>
                <w:ilvl w:val="0"/>
                <w:numId w:val="2"/>
              </w:numPr>
              <w:spacing w:after="40"/>
            </w:pPr>
            <w:r>
              <w:rPr>
                <w:rFonts w:ascii="Calibri" w:cs="Calibri" w:eastAsia="Calibri" w:hAnsi="Calibri"/>
                <w:color w:val="222222"/>
                <w:sz w:val="19"/>
                <w:szCs w:val="19"/>
              </w:rPr>
              <w:t xml:space="preserve">Major UI redesign after SRS approval</w:t>
            </w:r>
          </w:p>
          <w:p>
            <w:pPr>
              <w:pStyle w:val="ListParagraph"/>
              <w:numPr>
                <w:ilvl w:val="0"/>
                <w:numId w:val="2"/>
              </w:numPr>
              <w:spacing w:after="40"/>
            </w:pPr>
            <w:r>
              <w:rPr>
                <w:rFonts w:ascii="Calibri" w:cs="Calibri" w:eastAsia="Calibri" w:hAnsi="Calibri"/>
                <w:color w:val="222222"/>
                <w:sz w:val="19"/>
                <w:szCs w:val="19"/>
              </w:rPr>
              <w:t xml:space="preserve">Additional modules, reports, or user roles beyond scope</w:t>
            </w:r>
          </w:p>
          <w:p>
            <w:pPr>
              <w:pStyle w:val="ListParagraph"/>
              <w:numPr>
                <w:ilvl w:val="0"/>
                <w:numId w:val="2"/>
              </w:numPr>
              <w:spacing w:after="40"/>
            </w:pPr>
            <w:r>
              <w:rPr>
                <w:rFonts w:ascii="Calibri" w:cs="Calibri" w:eastAsia="Calibri" w:hAnsi="Calibri"/>
                <w:color w:val="222222"/>
                <w:sz w:val="19"/>
                <w:szCs w:val="19"/>
              </w:rPr>
              <w:t xml:space="preserve">Historical data migration beyond the agreed dataset</w:t>
            </w:r>
          </w:p>
        </w:tc>
      </w:tr>
    </w:tbl>
    <w:p>
      <w:pPr>
        <w:spacing w:after="80" w:before="160"/>
      </w:pPr>
      <w:r>
        <w:rPr>
          <w:rFonts w:ascii="Calibri" w:cs="Calibri" w:eastAsia="Calibri" w:hAnsi="Calibri"/>
          <w:b/>
          <w:bCs/>
          <w:color w:val="172A6C"/>
          <w:sz w:val="22"/>
          <w:szCs w:val="22"/>
        </w:rPr>
        <w:t xml:space="preserve">Hosting &amp; Infrastructure</w:t>
      </w:r>
    </w:p>
    <w:p>
      <w:pPr>
        <w:spacing w:after="160"/>
      </w:pPr>
      <w:r>
        <w:rPr>
          <w:rFonts w:ascii="Calibri" w:cs="Calibri" w:eastAsia="Calibri" w:hAnsi="Calibri"/>
          <w:i w:val="false"/>
          <w:iCs w:val="false"/>
          <w:color w:val="222222"/>
          <w:sz w:val="21"/>
          <w:szCs w:val="21"/>
        </w:rPr>
        <w:t xml:space="preserve">This quotation covers application development and implementation only. Cloud/server hosting, domain, SSL certificates, email/SMS/WhatsApp services, third-party APIs, biometric hardware, networking equipment, and other third-party infrastructure or services are excluded unless specifically mentioned. Where hosting is provided by [Company Name], it is billed separately as a recurring line item (e.g. Cloud Hosting &amp; Backup: ₹[X]/month or ₹[X]/year).</w:t>
      </w:r>
    </w:p>
    <w:p>
      <w:pPr>
        <w:spacing w:after="80" w:before="160"/>
      </w:pPr>
      <w:r>
        <w:rPr>
          <w:rFonts w:ascii="Calibri" w:cs="Calibri" w:eastAsia="Calibri" w:hAnsi="Calibri"/>
          <w:b/>
          <w:bCs/>
          <w:color w:val="172A6C"/>
          <w:sz w:val="22"/>
          <w:szCs w:val="22"/>
        </w:rPr>
        <w:t xml:space="preserve">Integrations</w:t>
      </w:r>
    </w:p>
    <w:p>
      <w:pPr>
        <w:spacing w:after="160"/>
      </w:pPr>
      <w:r>
        <w:rPr>
          <w:rFonts w:ascii="Calibri" w:cs="Calibri" w:eastAsia="Calibri" w:hAnsi="Calibri"/>
          <w:i w:val="false"/>
          <w:iCs w:val="false"/>
          <w:color w:val="222222"/>
          <w:sz w:val="21"/>
          <w:szCs w:val="21"/>
        </w:rPr>
        <w:t xml:space="preserve">Integration with third-party systems, accounting software, biometric devices, weighing machines, payment gateways, WhatsApp, email/SMS gateways, APIs, or other external systems is excluded unless specifically listed in the approved SRS.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pct" w:w="60%"/>
            <w:shd w:fill="172A6C" w:val="clear"/>
            <w:tcMar>
              <w:top w:type="dxa" w:w="90"/>
              <w:left w:type="dxa" w:w="120"/>
              <w:bottom w:type="dxa" w:w="90"/>
              <w:right w:type="dxa" w:w="120"/>
            </w:tcMar>
          </w:tcPr>
          <w:p>
            <w:r>
              <w:rPr>
                <w:rFonts w:ascii="Calibri" w:cs="Calibri" w:eastAsia="Calibri" w:hAnsi="Calibri"/>
                <w:b/>
                <w:bCs/>
                <w:color w:val="FFFFFF"/>
                <w:sz w:val="19"/>
                <w:szCs w:val="19"/>
              </w:rPr>
              <w:t xml:space="preserve">Integration</w:t>
            </w:r>
          </w:p>
        </w:tc>
        <w:tc>
          <w:tcPr>
            <w:tcW w:type="pct" w:w="40%"/>
            <w:shd w:fill="172A6C" w:val="clear"/>
            <w:tcMar>
              <w:top w:type="dxa" w:w="90"/>
              <w:left w:type="dxa" w:w="120"/>
              <w:bottom w:type="dxa" w:w="90"/>
              <w:right w:type="dxa" w:w="120"/>
            </w:tcMar>
          </w:tcPr>
          <w:p>
            <w:r>
              <w:rPr>
                <w:rFonts w:ascii="Calibri" w:cs="Calibri" w:eastAsia="Calibri" w:hAnsi="Calibri"/>
                <w:b/>
                <w:bCs/>
                <w:color w:val="FFFFFF"/>
                <w:sz w:val="19"/>
                <w:szCs w:val="19"/>
              </w:rPr>
              <w:t xml:space="preserve">Status</w:t>
            </w:r>
          </w:p>
        </w:tc>
      </w:tr>
      <w:tr>
        <w:tc>
          <w:tcPr>
            <w:tcW w:type="pct" w:w="60%"/>
            <w:shd w:fill="FFFFFF" w:val="clear"/>
            <w:tcMar>
              <w:top w:type="dxa" w:w="80"/>
              <w:left w:type="dxa" w:w="120"/>
              <w:bottom w:type="dxa" w:w="80"/>
              <w:right w:type="dxa" w:w="120"/>
            </w:tcMar>
          </w:tcPr>
          <w:p>
            <w:r>
              <w:rPr>
                <w:rFonts w:ascii="Calibri" w:cs="Calibri" w:eastAsia="Calibri" w:hAnsi="Calibri"/>
                <w:color w:val="222222"/>
                <w:sz w:val="19"/>
                <w:szCs w:val="19"/>
              </w:rPr>
              <w:t xml:space="preserve">Biometric Device</w:t>
            </w:r>
          </w:p>
        </w:tc>
        <w:tc>
          <w:tcPr>
            <w:tcW w:type="pct" w:w="40%"/>
            <w:shd w:fill="FFFFFF" w:val="clear"/>
            <w:tcMar>
              <w:top w:type="dxa" w:w="80"/>
              <w:left w:type="dxa" w:w="120"/>
              <w:bottom w:type="dxa" w:w="80"/>
              <w:right w:type="dxa" w:w="120"/>
            </w:tcMar>
          </w:tcPr>
          <w:p>
            <w:r>
              <w:rPr>
                <w:rFonts w:ascii="Calibri" w:cs="Calibri" w:eastAsia="Calibri" w:hAnsi="Calibri"/>
                <w:color w:val="222222"/>
                <w:sz w:val="19"/>
                <w:szCs w:val="19"/>
              </w:rPr>
              <w:t xml:space="preserve">[Future / Optional / Included]</w:t>
            </w:r>
          </w:p>
        </w:tc>
      </w:tr>
      <w:tr>
        <w:tc>
          <w:tcPr>
            <w:tcW w:type="pct" w:w="60%"/>
            <w:shd w:fill="F7F7F7" w:val="clear"/>
            <w:tcMar>
              <w:top w:type="dxa" w:w="80"/>
              <w:left w:type="dxa" w:w="120"/>
              <w:bottom w:type="dxa" w:w="80"/>
              <w:right w:type="dxa" w:w="120"/>
            </w:tcMar>
          </w:tcPr>
          <w:p>
            <w:r>
              <w:rPr>
                <w:rFonts w:ascii="Calibri" w:cs="Calibri" w:eastAsia="Calibri" w:hAnsi="Calibri"/>
                <w:color w:val="222222"/>
                <w:sz w:val="19"/>
                <w:szCs w:val="19"/>
              </w:rPr>
              <w:t xml:space="preserve">Accounting Software (e.g. Tally)</w:t>
            </w:r>
          </w:p>
        </w:tc>
        <w:tc>
          <w:tcPr>
            <w:tcW w:type="pct" w:w="40%"/>
            <w:shd w:fill="F7F7F7" w:val="clear"/>
            <w:tcMar>
              <w:top w:type="dxa" w:w="80"/>
              <w:left w:type="dxa" w:w="120"/>
              <w:bottom w:type="dxa" w:w="80"/>
              <w:right w:type="dxa" w:w="120"/>
            </w:tcMar>
          </w:tcPr>
          <w:p>
            <w:r>
              <w:rPr>
                <w:rFonts w:ascii="Calibri" w:cs="Calibri" w:eastAsia="Calibri" w:hAnsi="Calibri"/>
                <w:color w:val="222222"/>
                <w:sz w:val="19"/>
                <w:szCs w:val="19"/>
              </w:rPr>
              <w:t xml:space="preserve">[Not Included / Included]</w:t>
            </w:r>
          </w:p>
        </w:tc>
      </w:tr>
      <w:tr>
        <w:tc>
          <w:tcPr>
            <w:tcW w:type="pct" w:w="60%"/>
            <w:shd w:fill="FFFFFF" w:val="clear"/>
            <w:tcMar>
              <w:top w:type="dxa" w:w="80"/>
              <w:left w:type="dxa" w:w="120"/>
              <w:bottom w:type="dxa" w:w="80"/>
              <w:right w:type="dxa" w:w="120"/>
            </w:tcMar>
          </w:tcPr>
          <w:p>
            <w:r>
              <w:rPr>
                <w:rFonts w:ascii="Calibri" w:cs="Calibri" w:eastAsia="Calibri" w:hAnsi="Calibri"/>
                <w:color w:val="222222"/>
                <w:sz w:val="19"/>
                <w:szCs w:val="19"/>
              </w:rPr>
              <w:t xml:space="preserve">WhatsApp</w:t>
            </w:r>
          </w:p>
        </w:tc>
        <w:tc>
          <w:tcPr>
            <w:tcW w:type="pct" w:w="40%"/>
            <w:shd w:fill="FFFFFF" w:val="clear"/>
            <w:tcMar>
              <w:top w:type="dxa" w:w="80"/>
              <w:left w:type="dxa" w:w="120"/>
              <w:bottom w:type="dxa" w:w="80"/>
              <w:right w:type="dxa" w:w="120"/>
            </w:tcMar>
          </w:tcPr>
          <w:p>
            <w:r>
              <w:rPr>
                <w:rFonts w:ascii="Calibri" w:cs="Calibri" w:eastAsia="Calibri" w:hAnsi="Calibri"/>
                <w:color w:val="222222"/>
                <w:sz w:val="19"/>
                <w:szCs w:val="19"/>
              </w:rPr>
              <w:t xml:space="preserve">[Not Included / Included]</w:t>
            </w:r>
          </w:p>
        </w:tc>
      </w:tr>
      <w:tr>
        <w:tc>
          <w:tcPr>
            <w:tcW w:type="pct" w:w="60%"/>
            <w:shd w:fill="F7F7F7" w:val="clear"/>
            <w:tcMar>
              <w:top w:type="dxa" w:w="80"/>
              <w:left w:type="dxa" w:w="120"/>
              <w:bottom w:type="dxa" w:w="80"/>
              <w:right w:type="dxa" w:w="120"/>
            </w:tcMar>
          </w:tcPr>
          <w:p>
            <w:r>
              <w:rPr>
                <w:rFonts w:ascii="Calibri" w:cs="Calibri" w:eastAsia="Calibri" w:hAnsi="Calibri"/>
                <w:color w:val="222222"/>
                <w:sz w:val="19"/>
                <w:szCs w:val="19"/>
              </w:rPr>
              <w:t xml:space="preserve">Email</w:t>
            </w:r>
          </w:p>
        </w:tc>
        <w:tc>
          <w:tcPr>
            <w:tcW w:type="pct" w:w="40%"/>
            <w:shd w:fill="F7F7F7" w:val="clear"/>
            <w:tcMar>
              <w:top w:type="dxa" w:w="80"/>
              <w:left w:type="dxa" w:w="120"/>
              <w:bottom w:type="dxa" w:w="80"/>
              <w:right w:type="dxa" w:w="120"/>
            </w:tcMar>
          </w:tcPr>
          <w:p>
            <w:r>
              <w:rPr>
                <w:rFonts w:ascii="Calibri" w:cs="Calibri" w:eastAsia="Calibri" w:hAnsi="Calibri"/>
                <w:color w:val="222222"/>
                <w:sz w:val="19"/>
                <w:szCs w:val="19"/>
              </w:rPr>
              <w:t xml:space="preserve">[Optional / Included]</w:t>
            </w:r>
          </w:p>
        </w:tc>
      </w:tr>
      <w:tr>
        <w:tc>
          <w:tcPr>
            <w:tcW w:type="pct" w:w="60%"/>
            <w:shd w:fill="FFFFFF" w:val="clear"/>
            <w:tcMar>
              <w:top w:type="dxa" w:w="80"/>
              <w:left w:type="dxa" w:w="120"/>
              <w:bottom w:type="dxa" w:w="80"/>
              <w:right w:type="dxa" w:w="120"/>
            </w:tcMar>
          </w:tcPr>
          <w:p>
            <w:r>
              <w:rPr>
                <w:rFonts w:ascii="Calibri" w:cs="Calibri" w:eastAsia="Calibri" w:hAnsi="Calibri"/>
                <w:color w:val="222222"/>
                <w:sz w:val="19"/>
                <w:szCs w:val="19"/>
              </w:rPr>
              <w:t xml:space="preserve">Barcode / QR</w:t>
            </w:r>
          </w:p>
        </w:tc>
        <w:tc>
          <w:tcPr>
            <w:tcW w:type="pct" w:w="40%"/>
            <w:shd w:fill="FFFFFF" w:val="clear"/>
            <w:tcMar>
              <w:top w:type="dxa" w:w="80"/>
              <w:left w:type="dxa" w:w="120"/>
              <w:bottom w:type="dxa" w:w="80"/>
              <w:right w:type="dxa" w:w="120"/>
            </w:tcMar>
          </w:tcPr>
          <w:p>
            <w:r>
              <w:rPr>
                <w:rFonts w:ascii="Calibri" w:cs="Calibri" w:eastAsia="Calibri" w:hAnsi="Calibri"/>
                <w:color w:val="222222"/>
                <w:sz w:val="19"/>
                <w:szCs w:val="19"/>
              </w:rPr>
              <w:t xml:space="preserve">[Optional / Included]</w:t>
            </w:r>
          </w:p>
        </w:tc>
      </w:tr>
    </w:tbl>
    <w:p>
      <w:pPr>
        <w:spacing w:after="80" w:before="160"/>
      </w:pPr>
      <w:r>
        <w:rPr>
          <w:rFonts w:ascii="Calibri" w:cs="Calibri" w:eastAsia="Calibri" w:hAnsi="Calibri"/>
          <w:b/>
          <w:bCs/>
          <w:color w:val="172A6C"/>
          <w:sz w:val="22"/>
          <w:szCs w:val="22"/>
        </w:rPr>
        <w:t xml:space="preserve">Data Security &amp; Backup</w:t>
      </w:r>
    </w:p>
    <w:p>
      <w:pPr>
        <w:spacing w:after="160"/>
      </w:pPr>
      <w:r>
        <w:rPr>
          <w:rFonts w:ascii="Calibri" w:cs="Calibri" w:eastAsia="Calibri" w:hAnsi="Calibri"/>
          <w:i w:val="false"/>
          <w:iCs w:val="false"/>
          <w:color w:val="222222"/>
          <w:sz w:val="21"/>
          <w:szCs w:val="21"/>
        </w:rPr>
        <w:t xml:space="preserve">The system will implement role-based access control and appropriate application-level security measures. Database backups will be configured according to the agreed hosting architecture. Backup retention, disaster recovery, and infrastructure-level security will depend on the selected hosting environment.</w:t>
      </w:r>
    </w:p>
    <w:p>
      <w:pPr>
        <w:spacing w:after="80" w:before="160"/>
      </w:pPr>
      <w:r>
        <w:rPr>
          <w:rFonts w:ascii="Calibri" w:cs="Calibri" w:eastAsia="Calibri" w:hAnsi="Calibri"/>
          <w:b/>
          <w:bCs/>
          <w:color w:val="172A6C"/>
          <w:sz w:val="22"/>
          <w:szCs w:val="22"/>
        </w:rPr>
        <w:t xml:space="preserve">Client Responsibilities</w:t>
      </w:r>
    </w:p>
    <w:p>
      <w:pPr>
        <w:spacing w:after="160"/>
      </w:pPr>
      <w:r>
        <w:rPr>
          <w:rFonts w:ascii="Calibri" w:cs="Calibri" w:eastAsia="Calibri" w:hAnsi="Calibri"/>
          <w:i w:val="false"/>
          <w:iCs w:val="false"/>
          <w:color w:val="222222"/>
          <w:sz w:val="21"/>
          <w:szCs w:val="21"/>
        </w:rPr>
        <w:t xml:space="preserve">[Client Company Name] shall provide accurate business process information, master data (item, vendor, customer, and employee masters, BOMs, process/routing information, opening stock, salary structures), required approvals, authorized users, timely feedback, and necessary access to relevant personnel for requirement validation and UAT.</w:t>
      </w:r>
    </w:p>
    <w:p>
      <w:pPr>
        <w:spacing w:after="80" w:before="160"/>
      </w:pPr>
      <w:r>
        <w:rPr>
          <w:rFonts w:ascii="Calibri" w:cs="Calibri" w:eastAsia="Calibri" w:hAnsi="Calibri"/>
          <w:b/>
          <w:bCs/>
          <w:color w:val="172A6C"/>
          <w:sz w:val="22"/>
          <w:szCs w:val="22"/>
        </w:rPr>
        <w:t xml:space="preserve">Dependencies &amp; Assumptions</w:t>
      </w:r>
    </w:p>
    <w:p>
      <w:pPr>
        <w:spacing w:after="160"/>
      </w:pPr>
      <w:r>
        <w:rPr>
          <w:rFonts w:ascii="Calibri" w:cs="Calibri" w:eastAsia="Calibri" w:hAnsi="Calibri"/>
          <w:i w:val="false"/>
          <w:iCs w:val="false"/>
          <w:color w:val="222222"/>
          <w:sz w:val="21"/>
          <w:szCs w:val="21"/>
        </w:rPr>
        <w:t xml:space="preserve">The proposed scope and timeline are based on the assumption that:</w:t>
      </w:r>
    </w:p>
    <w:p>
      <w:pPr>
        <w:pStyle w:val="ListParagraph"/>
        <w:numPr>
          <w:ilvl w:val="0"/>
          <w:numId w:val="2"/>
        </w:numPr>
        <w:spacing w:after="60"/>
      </w:pPr>
      <w:r>
        <w:rPr>
          <w:rFonts w:ascii="Calibri" w:cs="Calibri" w:eastAsia="Calibri" w:hAnsi="Calibri"/>
          <w:b w:val="false"/>
          <w:bCs w:val="false"/>
          <w:color w:val="222222"/>
          <w:sz w:val="21"/>
          <w:szCs w:val="21"/>
        </w:rPr>
        <w:t xml:space="preserve">Required business information will be provided in a timely manner</w:t>
      </w:r>
    </w:p>
    <w:p>
      <w:pPr>
        <w:pStyle w:val="ListParagraph"/>
        <w:numPr>
          <w:ilvl w:val="0"/>
          <w:numId w:val="2"/>
        </w:numPr>
        <w:spacing w:after="60"/>
      </w:pPr>
      <w:r>
        <w:rPr>
          <w:rFonts w:ascii="Calibri" w:cs="Calibri" w:eastAsia="Calibri" w:hAnsi="Calibri"/>
          <w:b w:val="false"/>
          <w:bCs w:val="false"/>
          <w:color w:val="222222"/>
          <w:sz w:val="21"/>
          <w:szCs w:val="21"/>
        </w:rPr>
        <w:t xml:space="preserve">Master data will be supplied in agreed formats</w:t>
      </w:r>
    </w:p>
    <w:p>
      <w:pPr>
        <w:pStyle w:val="ListParagraph"/>
        <w:numPr>
          <w:ilvl w:val="0"/>
          <w:numId w:val="2"/>
        </w:numPr>
        <w:spacing w:after="60"/>
      </w:pPr>
      <w:r>
        <w:rPr>
          <w:rFonts w:ascii="Calibri" w:cs="Calibri" w:eastAsia="Calibri" w:hAnsi="Calibri"/>
          <w:b w:val="false"/>
          <w:bCs w:val="false"/>
          <w:color w:val="222222"/>
          <w:sz w:val="21"/>
          <w:szCs w:val="21"/>
        </w:rPr>
        <w:t xml:space="preserve">A designated client representative will be available for requirement validation and UAT</w:t>
      </w:r>
    </w:p>
    <w:p>
      <w:pPr>
        <w:pStyle w:val="ListParagraph"/>
        <w:numPr>
          <w:ilvl w:val="0"/>
          <w:numId w:val="2"/>
        </w:numPr>
        <w:spacing w:after="60"/>
      </w:pPr>
      <w:r>
        <w:rPr>
          <w:rFonts w:ascii="Calibri" w:cs="Calibri" w:eastAsia="Calibri" w:hAnsi="Calibri"/>
          <w:b w:val="false"/>
          <w:bCs w:val="false"/>
          <w:color w:val="222222"/>
          <w:sz w:val="21"/>
          <w:szCs w:val="21"/>
        </w:rPr>
        <w:t xml:space="preserve">Required third-party hardware/API access will be provided by the client</w:t>
      </w:r>
    </w:p>
    <w:p>
      <w:pPr>
        <w:pStyle w:val="ListParagraph"/>
        <w:numPr>
          <w:ilvl w:val="0"/>
          <w:numId w:val="2"/>
        </w:numPr>
        <w:spacing w:after="60"/>
      </w:pPr>
      <w:r>
        <w:rPr>
          <w:rFonts w:ascii="Calibri" w:cs="Calibri" w:eastAsia="Calibri" w:hAnsi="Calibri"/>
          <w:b w:val="false"/>
          <w:bCs w:val="false"/>
          <w:color w:val="222222"/>
          <w:sz w:val="21"/>
          <w:szCs w:val="21"/>
        </w:rPr>
        <w:t xml:space="preserve">Any major changes to the approved workflow may affect project cost and timeline</w:t>
      </w:r>
    </w:p>
    <w:p>
      <w:pPr>
        <w:sectPr>
          <w:headerReference w:type="default" r:id="rId19"/>
          <w:footerReference w:type="default" r:id="rId20"/>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07  </w:t>
      </w:r>
      <w:r>
        <w:rPr>
          <w:rFonts w:ascii="Calibri" w:cs="Calibri" w:eastAsia="Calibri" w:hAnsi="Calibri"/>
          <w:b/>
          <w:bCs/>
          <w:color w:val="172A6C"/>
          <w:sz w:val="30"/>
          <w:szCs w:val="30"/>
        </w:rPr>
        <w:t xml:space="preserve">Handover &amp; Ownership</w:t>
      </w:r>
    </w:p>
    <w:p>
      <w:pPr>
        <w:spacing w:after="80" w:before="160"/>
      </w:pPr>
      <w:r>
        <w:rPr>
          <w:rFonts w:ascii="Calibri" w:cs="Calibri" w:eastAsia="Calibri" w:hAnsi="Calibri"/>
          <w:b/>
          <w:bCs/>
          <w:color w:val="172A6C"/>
          <w:sz w:val="22"/>
          <w:szCs w:val="22"/>
        </w:rPr>
        <w:t xml:space="preserve">Scope Baseline</w:t>
      </w:r>
    </w:p>
    <w:p>
      <w:pPr>
        <w:spacing w:after="160"/>
      </w:pPr>
      <w:r>
        <w:rPr>
          <w:rFonts w:ascii="Calibri" w:cs="Calibri" w:eastAsia="Calibri" w:hAnsi="Calibri"/>
          <w:i w:val="false"/>
          <w:iCs w:val="false"/>
          <w:color w:val="222222"/>
          <w:sz w:val="21"/>
          <w:szCs w:val="21"/>
        </w:rPr>
        <w:t xml:space="preserve">The approved SRS shall serve as the baseline document for development and acceptance. Any functionality not explicitly included in the approved SRS shall be considered outside the initial project scope unless otherwise agreed in writing.</w:t>
      </w:r>
    </w:p>
    <w:p>
      <w:pPr>
        <w:spacing w:after="80" w:before="160"/>
      </w:pPr>
      <w:r>
        <w:rPr>
          <w:rFonts w:ascii="Calibri" w:cs="Calibri" w:eastAsia="Calibri" w:hAnsi="Calibri"/>
          <w:b/>
          <w:bCs/>
          <w:color w:val="172A6C"/>
          <w:sz w:val="22"/>
          <w:szCs w:val="22"/>
        </w:rPr>
        <w:t xml:space="preserve">Change Requests</w:t>
      </w:r>
    </w:p>
    <w:p>
      <w:pPr>
        <w:spacing w:after="160"/>
      </w:pPr>
      <w:r>
        <w:rPr>
          <w:rFonts w:ascii="Calibri" w:cs="Calibri" w:eastAsia="Calibri" w:hAnsi="Calibri"/>
          <w:i w:val="false"/>
          <w:iCs w:val="false"/>
          <w:color w:val="222222"/>
          <w:sz w:val="21"/>
          <w:szCs w:val="21"/>
        </w:rPr>
        <w:t xml:space="preserve">The project scope is based on the approved SRS. Any functionality, workflow, report, integration, screen, business rule, or modification requested after SRS approval that materially changes the agreed scope shall be treated as a Change Request. Such requests will be evaluated for effort, cost, and timeline and will be implemented only after written approval.</w:t>
      </w:r>
    </w:p>
    <w:p>
      <w:pPr>
        <w:spacing w:after="80" w:before="160"/>
      </w:pPr>
      <w:r>
        <w:rPr>
          <w:rFonts w:ascii="Calibri" w:cs="Calibri" w:eastAsia="Calibri" w:hAnsi="Calibri"/>
          <w:b/>
          <w:bCs/>
          <w:color w:val="172A6C"/>
          <w:sz w:val="22"/>
          <w:szCs w:val="22"/>
        </w:rPr>
        <w:t xml:space="preserve">User Acceptance Testing</w:t>
      </w:r>
    </w:p>
    <w:p>
      <w:pPr>
        <w:spacing w:after="160"/>
      </w:pPr>
      <w:r>
        <w:rPr>
          <w:rFonts w:ascii="Calibri" w:cs="Calibri" w:eastAsia="Calibri" w:hAnsi="Calibri"/>
          <w:i w:val="false"/>
          <w:iCs w:val="false"/>
          <w:color w:val="222222"/>
          <w:sz w:val="21"/>
          <w:szCs w:val="21"/>
        </w:rPr>
        <w:t xml:space="preserve">Following completion of development, the ERP will be deployed to a staging/UAT environment for client testing. The client will review the system against the approved SRS and provide consolidated feedback. Issues relating to agreed functionality will be corrected by [Company Name]. New functionality or changes to approved workflows will be treated as Change Requests.</w:t>
      </w:r>
    </w:p>
    <w:p>
      <w:pPr>
        <w:spacing w:after="160"/>
      </w:pPr>
      <w:r>
        <w:rPr>
          <w:rFonts w:ascii="Calibri" w:cs="Calibri" w:eastAsia="Calibri" w:hAnsi="Calibri"/>
          <w:i w:val="false"/>
          <w:iCs w:val="false"/>
          <w:color w:val="222222"/>
          <w:sz w:val="21"/>
          <w:szCs w:val="21"/>
        </w:rPr>
        <w:t xml:space="preserve">If no material issues are reported within 7 business days of UAT deployment, the system shall be considered accepted for go-live.</w:t>
      </w:r>
    </w:p>
    <w:p>
      <w:pPr>
        <w:spacing w:after="80" w:before="160"/>
      </w:pPr>
      <w:r>
        <w:rPr>
          <w:rFonts w:ascii="Calibri" w:cs="Calibri" w:eastAsia="Calibri" w:hAnsi="Calibri"/>
          <w:b/>
          <w:bCs/>
          <w:color w:val="172A6C"/>
          <w:sz w:val="22"/>
          <w:szCs w:val="22"/>
        </w:rPr>
        <w:t xml:space="preserve">Handover Deliverables</w:t>
      </w:r>
    </w:p>
    <w:p>
      <w:pPr>
        <w:pStyle w:val="ListParagraph"/>
        <w:numPr>
          <w:ilvl w:val="0"/>
          <w:numId w:val="2"/>
        </w:numPr>
        <w:spacing w:after="60"/>
      </w:pPr>
      <w:r>
        <w:rPr>
          <w:rFonts w:ascii="Calibri" w:cs="Calibri" w:eastAsia="Calibri" w:hAnsi="Calibri"/>
          <w:b w:val="false"/>
          <w:bCs w:val="false"/>
          <w:color w:val="222222"/>
          <w:sz w:val="21"/>
          <w:szCs w:val="21"/>
        </w:rPr>
        <w:t xml:space="preserve">User login credentials with a short training walkthrough for each department</w:t>
      </w:r>
    </w:p>
    <w:p>
      <w:pPr>
        <w:pStyle w:val="ListParagraph"/>
        <w:numPr>
          <w:ilvl w:val="0"/>
          <w:numId w:val="2"/>
        </w:numPr>
        <w:spacing w:after="60"/>
      </w:pPr>
      <w:r>
        <w:rPr>
          <w:rFonts w:ascii="Calibri" w:cs="Calibri" w:eastAsia="Calibri" w:hAnsi="Calibri"/>
          <w:b w:val="false"/>
          <w:bCs w:val="false"/>
          <w:color w:val="222222"/>
          <w:sz w:val="21"/>
          <w:szCs w:val="21"/>
        </w:rPr>
        <w:t xml:space="preserve">User manual and technical documentation</w:t>
      </w:r>
    </w:p>
    <w:p>
      <w:pPr>
        <w:pStyle w:val="ListParagraph"/>
        <w:numPr>
          <w:ilvl w:val="0"/>
          <w:numId w:val="2"/>
        </w:numPr>
        <w:spacing w:after="60"/>
      </w:pPr>
      <w:r>
        <w:rPr>
          <w:rFonts w:ascii="Calibri" w:cs="Calibri" w:eastAsia="Calibri" w:hAnsi="Calibri"/>
          <w:b w:val="false"/>
          <w:bCs w:val="false"/>
          <w:color w:val="222222"/>
          <w:sz w:val="21"/>
          <w:szCs w:val="21"/>
        </w:rPr>
        <w:t xml:space="preserve">Master data setup as configured for the client</w:t>
      </w:r>
    </w:p>
    <w:p>
      <w:pPr>
        <w:spacing w:after="80" w:before="160"/>
      </w:pPr>
      <w:r>
        <w:rPr>
          <w:rFonts w:ascii="Calibri" w:cs="Calibri" w:eastAsia="Calibri" w:hAnsi="Calibri"/>
          <w:b/>
          <w:bCs/>
          <w:color w:val="172A6C"/>
          <w:sz w:val="22"/>
          <w:szCs w:val="22"/>
        </w:rPr>
        <w:t xml:space="preserve">Source Code &amp; Intellectual Property</w:t>
      </w:r>
    </w:p>
    <w:p>
      <w:pPr>
        <w:spacing w:after="160"/>
      </w:pPr>
      <w:r>
        <w:rPr>
          <w:rFonts w:ascii="Calibri" w:cs="Calibri" w:eastAsia="Calibri" w:hAnsi="Calibri"/>
          <w:i w:val="false"/>
          <w:iCs w:val="false"/>
          <w:color w:val="222222"/>
          <w:sz w:val="21"/>
          <w:szCs w:val="21"/>
        </w:rPr>
        <w:t xml:space="preserve">Source code and project intellectual property shall be transferred to the client upon receipt of 100% of the project payment, subject to the terms of the final agreement. [Company Name] retains ownership of its pre-existing libraries, frameworks, reusable components, tools, templates, and proprietary technology used in the development of the solution.</w:t>
      </w:r>
    </w:p>
    <w:tbl>
      <w:tblPr>
        <w:tblW w:type="pct" w:w="100%"/>
        <w:tblBorders>
          <w:top w:val="none"/>
          <w:left w:val="single" w:color="EA6B23" w:sz="24"/>
          <w:bottom w:val="none"/>
          <w:right w:val="none"/>
          <w:insideH w:val="none"/>
          <w:insideV w:val="none"/>
        </w:tblBorders>
      </w:tblPr>
      <w:tblGrid>
        <w:gridCol w:w="100"/>
      </w:tblGrid>
      <w:tr>
        <w:tc>
          <w:tcPr>
            <w:shd w:fill="F5F0E8" w:val="clear"/>
            <w:tcMar>
              <w:top w:type="dxa" w:w="160"/>
              <w:left w:type="dxa" w:w="200"/>
              <w:bottom w:type="dxa" w:w="160"/>
              <w:right w:type="dxa" w:w="200"/>
            </w:tcMar>
          </w:tcPr>
          <w:p>
            <w:pPr>
              <w:spacing w:after="60"/>
            </w:pPr>
            <w:r>
              <w:rPr>
                <w:rFonts w:ascii="Calibri" w:cs="Calibri" w:eastAsia="Calibri" w:hAnsi="Calibri"/>
                <w:b/>
                <w:bCs/>
                <w:color w:val="172A6C"/>
                <w:sz w:val="20"/>
                <w:szCs w:val="20"/>
              </w:rPr>
              <w:t xml:space="preserve">Optional — recurring revenue variant</w:t>
            </w:r>
          </w:p>
          <w:p>
            <w:r>
              <w:rPr>
                <w:rFonts w:ascii="Calibri" w:cs="Calibri" w:eastAsia="Calibri" w:hAnsi="Calibri"/>
                <w:color w:val="222222"/>
                <w:sz w:val="19"/>
                <w:szCs w:val="19"/>
              </w:rPr>
              <w:t xml:space="preserve">Source-code transfer is included only under the selected ownership package. Standard implementation packages provide usage rights while the underlying reusable technology remains the property of [Company Name].</w:t>
            </w:r>
          </w:p>
        </w:tc>
      </w:tr>
    </w:tbl>
    <w:p>
      <w:pPr>
        <w:sectPr>
          <w:headerReference w:type="default" r:id="rId21"/>
          <w:footerReference w:type="default" r:id="rId22"/>
          <w:pgSz w:w="11906" w:h="16838" w:orient="portrait"/>
          <w:pgMar w:top="900" w:right="1000" w:bottom="900" w:left="1000" w:header="708" w:footer="708" w:gutter="0"/>
          <w:pgNumType/>
          <w:docGrid w:linePitch="360"/>
        </w:sectPr>
      </w:pPr>
    </w:p>
    <w:p>
      <w:pPr>
        <w:pBdr>
          <w:bottom w:val="single" w:color="D9D9D9" w:sz="4" w:space="8"/>
        </w:pBdr>
        <w:spacing w:after="160"/>
      </w:pPr>
      <w:r>
        <w:rPr>
          <w:rFonts w:ascii="Calibri" w:cs="Calibri" w:eastAsia="Calibri" w:hAnsi="Calibri"/>
          <w:b/>
          <w:bCs/>
          <w:color w:val="D8CBB0"/>
          <w:sz w:val="44"/>
          <w:szCs w:val="44"/>
        </w:rPr>
        <w:t xml:space="preserve">08  </w:t>
      </w:r>
      <w:r>
        <w:rPr>
          <w:rFonts w:ascii="Calibri" w:cs="Calibri" w:eastAsia="Calibri" w:hAnsi="Calibri"/>
          <w:b/>
          <w:bCs/>
          <w:color w:val="172A6C"/>
          <w:sz w:val="30"/>
          <w:szCs w:val="30"/>
        </w:rPr>
        <w:t xml:space="preserve">Acceptance</w:t>
      </w:r>
    </w:p>
    <w:tbl>
      <w:tblPr>
        <w:tblW w:type="pct" w:w="100%"/>
        <w:tblBorders>
          <w:top w:val="none"/>
          <w:left w:val="single" w:color="EA6B23" w:sz="24"/>
          <w:bottom w:val="none"/>
          <w:right w:val="none"/>
          <w:insideH w:val="none"/>
          <w:insideV w:val="none"/>
        </w:tblBorders>
      </w:tblPr>
      <w:tblGrid>
        <w:gridCol w:w="100"/>
      </w:tblGrid>
      <w:tr>
        <w:tc>
          <w:tcPr>
            <w:shd w:fill="F5F0E8" w:val="clear"/>
            <w:tcMar>
              <w:top w:type="dxa" w:w="160"/>
              <w:left w:type="dxa" w:w="200"/>
              <w:bottom w:type="dxa" w:w="160"/>
              <w:right w:type="dxa" w:w="200"/>
            </w:tcMar>
          </w:tcPr>
          <w:p>
            <w:pPr>
              <w:spacing w:after="60"/>
            </w:pPr>
            <w:r>
              <w:rPr>
                <w:rFonts w:ascii="Calibri" w:cs="Calibri" w:eastAsia="Calibri" w:hAnsi="Calibri"/>
                <w:b/>
                <w:bCs/>
                <w:color w:val="172A6C"/>
                <w:sz w:val="20"/>
                <w:szCs w:val="20"/>
              </w:rPr>
              <w:t xml:space="preserve">What happens next</w:t>
            </w:r>
          </w:p>
          <w:p>
            <w:r>
              <w:rPr>
                <w:rFonts w:ascii="Calibri" w:cs="Calibri" w:eastAsia="Calibri" w:hAnsi="Calibri"/>
                <w:color w:val="222222"/>
                <w:sz w:val="19"/>
                <w:szCs w:val="19"/>
              </w:rPr>
              <w:t xml:space="preserve">If this offer is acceptable, kindly confirm with your purchase order and advance payment so we can begin the detailed requirement study and start ERP customization. Pricing is based on the scope and assumptions defined in this quotation and remains valid for 30 days from the date above; any changes in scope after quotation expiry may be subject to revised commercial terms.</w:t>
            </w:r>
          </w:p>
        </w:tc>
      </w:tr>
    </w:tbl>
    <w:p>
      <w:pPr>
        <w:spacing w:after="40" w:before="300"/>
      </w:pPr>
      <w:r>
        <w:rPr>
          <w:rFonts w:ascii="Calibri" w:cs="Calibri" w:eastAsia="Calibri" w:hAnsi="Calibri"/>
          <w:color w:val="222222"/>
          <w:sz w:val="20"/>
          <w:szCs w:val="20"/>
        </w:rPr>
        <w:t xml:space="preserve">For [Company Name]</w:t>
      </w:r>
    </w:p>
    <w:p>
      <w:pPr>
        <w:spacing w:after="20" w:before="500"/>
      </w:pPr>
      <w:r>
        <w:rPr>
          <w:rFonts w:ascii="Calibri" w:cs="Calibri" w:eastAsia="Calibri" w:hAnsi="Calibri"/>
          <w:b/>
          <w:bCs/>
          <w:color w:val="222222"/>
          <w:sz w:val="20"/>
          <w:szCs w:val="20"/>
        </w:rPr>
        <w:t xml:space="preserve">[Authorized Signatory Name]</w:t>
      </w:r>
    </w:p>
    <w:p>
      <w:pPr>
        <w:spacing w:after="300"/>
      </w:pPr>
      <w:r>
        <w:rPr>
          <w:rFonts w:ascii="Calibri" w:cs="Calibri" w:eastAsia="Calibri" w:hAnsi="Calibri"/>
          <w:color w:val="555555"/>
          <w:sz w:val="18"/>
          <w:szCs w:val="18"/>
        </w:rPr>
        <w:t xml:space="preserve">[Company Name] · [email] · [phone]</w:t>
      </w:r>
    </w:p>
    <w:p>
      <w:pPr>
        <w:spacing w:after="40" w:before="200"/>
      </w:pPr>
      <w:r>
        <w:rPr>
          <w:rFonts w:ascii="Calibri" w:cs="Calibri" w:eastAsia="Calibri" w:hAnsi="Calibri"/>
          <w:b/>
          <w:bCs/>
          <w:color w:val="EA6B23"/>
          <w:spacing w:val="20"/>
          <w:sz w:val="16"/>
          <w:szCs w:val="16"/>
        </w:rPr>
        <w:t xml:space="preserve">ACCEPTANCE</w:t>
      </w:r>
    </w:p>
    <w:p>
      <w:pPr>
        <w:spacing w:after="100"/>
      </w:pPr>
      <w:r>
        <w:rPr>
          <w:rFonts w:ascii="Calibri" w:cs="Calibri" w:eastAsia="Calibri" w:hAnsi="Calibri"/>
          <w:b/>
          <w:bCs/>
          <w:color w:val="172A6C"/>
          <w:sz w:val="22"/>
          <w:szCs w:val="22"/>
        </w:rPr>
        <w:t xml:space="preserve">Offer Acceptance by [Client Company Name]</w:t>
      </w:r>
    </w:p>
    <w:p>
      <w:pPr>
        <w:spacing w:after="160"/>
      </w:pPr>
      <w:r>
        <w:rPr>
          <w:rFonts w:ascii="Calibri" w:cs="Calibri" w:eastAsia="Calibri" w:hAnsi="Calibri"/>
          <w:i w:val="false"/>
          <w:iCs w:val="false"/>
          <w:color w:val="222222"/>
          <w:sz w:val="21"/>
          <w:szCs w:val="21"/>
        </w:rPr>
        <w:t xml:space="preserve">By signing below, [Client Company Name] confirms it has read and accepted this quotation and its terms, and authorizes [Company Name] to proceed as outlined above.</w:t>
      </w:r>
    </w:p>
    <w:p>
      <w:pPr>
        <w:spacing w:after="20" w:before="400"/>
      </w:pPr>
      <w:r>
        <w:rPr>
          <w:rFonts w:ascii="Calibri" w:cs="Calibri" w:eastAsia="Calibri" w:hAnsi="Calibri"/>
          <w:color w:val="222222"/>
          <w:sz w:val="20"/>
          <w:szCs w:val="20"/>
        </w:rPr>
        <w:t xml:space="preserve">For [Client Company Name]</w:t>
      </w:r>
    </w:p>
    <w:p>
      <w:pPr>
        <w:pBdr>
          <w:bottom w:val="single" w:color="D9D9D9" w:sz="4"/>
        </w:pBdr>
        <w:spacing w:after="20" w:before="500"/>
      </w:pPr>
      <w:r>
        <w:rPr>
          <w:rFonts w:ascii="Calibri" w:cs="Calibri" w:eastAsia="Calibri" w:hAnsi="Calibri"/>
          <w:color w:val="222222"/>
          <w:sz w:val="20"/>
          <w:szCs w:val="20"/>
        </w:rPr>
        <w:t xml:space="preserve">Authorized Signatory: </w:t>
      </w:r>
    </w:p>
    <w:p>
      <w:pPr>
        <w:pBdr>
          <w:bottom w:val="single" w:color="D9D9D9" w:sz="4"/>
        </w:pBdr>
        <w:spacing w:before="300"/>
      </w:pPr>
      <w:r>
        <w:rPr>
          <w:rFonts w:ascii="Calibri" w:cs="Calibri" w:eastAsia="Calibri" w:hAnsi="Calibri"/>
          <w:color w:val="222222"/>
          <w:sz w:val="20"/>
          <w:szCs w:val="20"/>
        </w:rPr>
        <w:t xml:space="preserve">Name: </w:t>
      </w:r>
    </w:p>
    <w:sectPr>
      <w:headerReference w:type="default" r:id="rId23"/>
      <w:footerReference w:type="default" r:id="rId24"/>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6"/>
      </w:pBdr>
      <w:tabs>
        <w:tab w:val="right" w:pos="9026"/>
      </w:tabs>
    </w:pPr>
    <w:r>
      <w:rPr>
        <w:rFonts w:ascii="Calibri" w:cs="Calibri" w:eastAsia="Calibri" w:hAnsi="Calibri"/>
        <w:color w:val="888888"/>
        <w:sz w:val="15"/>
        <w:szCs w:val="15"/>
      </w:rPr>
      <w:t xml:space="preserve">[Company Name]  ·  [website]  ·  [phone]</w:t>
    </w:r>
    <w:r>
      <w:rPr>
        <w:rFonts w:ascii="Calibri" w:cs="Calibri" w:eastAsia="Calibri" w:hAnsi="Calibri"/>
        <w:color w:val="888888"/>
        <w:sz w:val="15"/>
        <w:szCs w:val="15"/>
      </w:rPr>
      <w:t xml:space="preserve">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pacing w:val="20"/>
        <w:sz w:val="16"/>
        <w:szCs w:val="16"/>
      </w:rPr>
      <w:t xml:space="preserve">[COMPANY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2026-08-10T08:42:37.959Z</dcterms:created>
  <dcterms:modified xsi:type="dcterms:W3CDTF">2026-08-10T08:42:37.959Z</dcterms:modified>
</cp:coreProperties>
</file>

<file path=docProps/custom.xml><?xml version="1.0" encoding="utf-8"?>
<Properties xmlns="http://schemas.openxmlformats.org/officeDocument/2006/custom-properties" xmlns:vt="http://schemas.openxmlformats.org/officeDocument/2006/docPropsVTypes"/>
</file>