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1" Type="http://schemas.openxmlformats.org/officeDocument/2006/relationships/extended-properties" Target="docProps/app.xml"/>
  <Relationship Id="rId3" Type="http://schemas.openxmlformats.org/officeDocument/2006/relationships/officeDocument" Target="word/document.xml"/>
  <Relationship Id="rId4" Type="http://schemas.openxmlformats.org/package/2006/relationships/metadata/core-properties" Target="docProps/core.xml"/>
</Relationships>

</file>

<file path=word/document.xml><?xml version="1.0" encoding="utf-8"?>
<w:document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taisx="http://lrs.lt/TAIS/DocPartXmlMark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body>
    <w:p>
      <w:pPr>
        <w:jc w:val="both"/>
        <w:rPr>
          <w:rFonts w:ascii="Arial" w:hAnsi="Arial"/>
        </w:rPr>
      </w:pPr>
      <w:r>
        <w:rPr>
          <w:rFonts w:ascii="Arial" w:hAnsi="Arial"/>
          <w:b/>
          <w:i/>
        </w:rPr>
        <w:t>Suvestinė redakcija nuo 2024-10-01</w:t>
      </w:r>
    </w:p>
    <w:p>
      <w:pPr>
        <w:jc w:val="both"/>
        <w:rPr>
          <w:rFonts w:ascii="Arial" w:hAnsi="Arial"/>
          <w:sz w:val="20"/>
        </w:rPr>
      </w:pPr>
    </w:p>
    <w:p>
      <w:pPr>
        <w:jc w:val="both"/>
        <w:rPr>
          <w:rFonts w:ascii="Arial" w:hAnsi="Arial"/>
          <w:sz w:val="20"/>
        </w:rPr>
      </w:pPr>
      <w:bookmarkStart w:id="0" w:name="_GoBack"/>
      <w:bookmarkEnd w:id="0"/>
      <w:r>
        <w:rPr>
          <w:rFonts w:ascii="Arial" w:hAnsi="Arial"/>
          <w:sz w:val="20"/>
          <w:i/>
        </w:rPr>
        <w:t xml:space="preserve">Įsakymas paskelbtas: Žin. 2013, Nr. </w:t>
      </w:r>
      <w:fldSimple w:instr="HYPERLINK https://www.e-tar.lt/portal/legalAct.html?documentId=TAR.710F227A96C2">
        <w:r w:rsidRPr="00532B9F">
          <w:rPr>
            <w:rFonts w:ascii="Arial" w:eastAsia="MS Mincho" w:hAnsi="Arial"/>
            <w:sz w:val="20"/>
            <w:i/>
            <w:iCs/>
            <w:color w:val="0000FF" w:themeColor="hyperlink"/>
            <w:u w:val="single"/>
          </w:rPr>
          <w:t>96-4792</w:t>
        </w:r>
      </w:fldSimple>
      <w:r>
        <w:rPr>
          <w:rFonts w:ascii="Arial" w:eastAsia="MS Mincho" w:hAnsi="Arial"/>
          <w:sz w:val="20"/>
          <w:i/>
          <w:iCs/>
        </w:rPr>
        <w:t>, i. k. 1132230ISAK00A1-502</w:t>
      </w:r>
    </w:p>
    <w:p>
      <w:pPr>
        <w:jc w:val="both"/>
        <w:rPr>
          <w:rFonts w:ascii="Arial" w:hAnsi="Arial"/>
          <w:sz w:val="20"/>
        </w:rPr>
      </w:pPr>
    </w:p>
    <w:p>
      <w:pPr>
        <w:rPr>
          <w:rFonts w:ascii="Arial" w:hAnsi="Arial"/>
          <w:sz w:val="20"/>
          <w:b/>
          <w:i/>
        </w:rPr>
      </w:pPr>
      <w:r>
        <w:rPr>
          <w:rFonts w:ascii="Arial" w:hAnsi="Arial"/>
          <w:sz w:val="20"/>
          <w:b/>
          <w:i/>
        </w:rPr>
        <w:t>Nauja redakcija nuo 2024-10-01:</w:t>
      </w:r>
    </w:p>
    <w:p>
      <w:pPr>
        <w:rPr>
          <w:rFonts w:ascii="Arial" w:hAnsi="Arial"/>
          <w:sz w:val="20"/>
          <w:i/>
        </w:rPr>
      </w:pPr>
      <w:r>
        <w:rPr>
          <w:rFonts w:ascii="Arial" w:hAnsi="Arial"/>
          <w:sz w:val="20"/>
          <w:i/>
        </w:rPr>
        <w:t xml:space="preserve">Nr. </w:t>
      </w:r>
      <w:fldSimple w:instr="HYPERLINK https://www.e-tar.lt/portal/legalAct.html?documentId=a8f986167f2411efabdbb4a1fc8b0b63">
        <w:r w:rsidRPr="00532B9F">
          <w:rPr>
            <w:rFonts w:ascii="Arial" w:eastAsia="MS Mincho" w:hAnsi="Arial"/>
            <w:sz w:val="20"/>
            <w:i/>
            <w:iCs/>
            <w:color w:val="0000FF" w:themeColor="hyperlink"/>
            <w:u w:val="single"/>
          </w:rPr>
          <w:t>A1-643</w:t>
        </w:r>
      </w:fldSimple>
      <w:r>
        <w:rPr>
          <w:rFonts w:ascii="Arial" w:eastAsia="MS Mincho" w:hAnsi="Arial"/>
          <w:sz w:val="20"/>
          <w:i/>
          <w:iCs/>
        </w:rPr>
        <w:t>,
2024-09-30,
paskelbta TAR 2024-09-30, i. k. 2024-17143                </w:t>
      </w:r>
    </w:p>
    <w:p>
      <w:pPr>
        <w:rPr>
          <w:rFonts w:ascii="Arial" w:hAnsi="Arial"/>
          <w:sz w:val="22"/>
        </w:rPr>
      </w:pPr>
    </w:p>
    <w:p>
      <w:pPr>
        <w:widowControl w:val="0"/>
        <w:ind w:firstLine="851"/>
        <w:jc w:val="center"/>
        <w:rPr>
          <w:b/>
          <w:bCs/>
          <w:szCs w:val="24"/>
        </w:rPr>
      </w:pPr>
      <w:r>
        <w:rPr>
          <w:b/>
          <w:bCs/>
          <w:szCs w:val="24"/>
        </w:rPr>
        <w:t>LIETUVOS RESPUBLIKOS SOCIALINĖS APSAUGOS IR DARBO MINISTRAS</w:t>
      </w:r>
    </w:p>
    <w:p>
      <w:pPr>
        <w:widowControl w:val="0"/>
        <w:ind w:firstLine="851"/>
        <w:jc w:val="center"/>
        <w:rPr>
          <w:szCs w:val="24"/>
        </w:rPr>
      </w:pPr>
    </w:p>
    <w:p>
      <w:pPr>
        <w:widowControl w:val="0"/>
        <w:ind w:firstLine="851"/>
        <w:jc w:val="center"/>
        <w:rPr>
          <w:b/>
          <w:bCs/>
          <w:szCs w:val="24"/>
        </w:rPr>
      </w:pPr>
      <w:r>
        <w:rPr>
          <w:b/>
          <w:bCs/>
          <w:szCs w:val="24"/>
        </w:rPr>
        <w:t>ĮSAKYMAS</w:t>
      </w:r>
    </w:p>
    <w:p>
      <w:pPr>
        <w:widowControl w:val="0"/>
        <w:ind w:firstLine="851"/>
        <w:jc w:val="center"/>
        <w:rPr>
          <w:b/>
          <w:bCs/>
          <w:szCs w:val="24"/>
        </w:rPr>
      </w:pPr>
      <w:r>
        <w:rPr>
          <w:b/>
          <w:color w:val="000000"/>
          <w:szCs w:val="24"/>
          <w:lang w:eastAsia="lt-LT"/>
        </w:rPr>
        <w:t>DĖL DARBUOTOJŲ SAUGOS IR SVEIKATOS KOMITETŲ BENDRŲJŲ NUOSTATŲ PATVIRTINIMO</w:t>
      </w:r>
    </w:p>
    <w:p>
      <w:pPr>
        <w:widowControl w:val="0"/>
        <w:jc w:val="both"/>
        <w:rPr>
          <w:szCs w:val="24"/>
        </w:rPr>
      </w:pPr>
    </w:p>
    <w:p>
      <w:pPr>
        <w:widowControl w:val="0"/>
        <w:jc w:val="center"/>
        <w:rPr>
          <w:szCs w:val="24"/>
        </w:rPr>
      </w:pPr>
      <w:r>
        <w:rPr>
          <w:color w:val="000000"/>
          <w:szCs w:val="24"/>
          <w:lang w:eastAsia="lt-LT"/>
        </w:rPr>
        <w:t>2013 m. rugsėjo 9 d. Nr. A1-502</w:t>
        <w:br/>
        <w:t>Vilnius</w:t>
      </w:r>
    </w:p>
    <w:p>
      <w:pPr>
        <w:widowControl w:val="0"/>
        <w:jc w:val="both"/>
        <w:rPr>
          <w:szCs w:val="24"/>
        </w:rPr>
      </w:pPr>
    </w:p>
    <w:p>
      <w:pPr>
        <w:ind w:firstLine="851"/>
        <w:jc w:val="both"/>
        <w:rPr>
          <w:szCs w:val="24"/>
        </w:rPr>
      </w:pPr>
      <w:r>
        <w:rPr>
          <w:szCs w:val="24"/>
        </w:rPr>
        <w:t>Vadovaudamasi Lietuvos Respublikos darbuotojų saugos ir sveikatos įstatymo 13 straipsnio 2 dalimi,</w:t>
      </w:r>
    </w:p>
    <w:p>
      <w:pPr>
        <w:ind w:firstLine="851"/>
        <w:jc w:val="both"/>
      </w:pPr>
      <w:r>
        <w:rPr>
          <w:spacing w:val="80"/>
          <w:szCs w:val="24"/>
        </w:rPr>
        <w:t>tvirtinu</w:t>
      </w:r>
      <w:r>
        <w:rPr>
          <w:szCs w:val="24"/>
        </w:rPr>
        <w:t xml:space="preserve"> Darbuotojų saugos ir sveikatos komitetų bendruosius nuostatus (pridedama).</w:t>
      </w:r>
      <w:r>
        <w:t xml:space="preserve"> </w:t>
      </w:r>
    </w:p>
    <w:p>
      <w:pPr>
        <w:widowControl w:val="0"/>
        <w:tabs>
          <w:tab w:val="right" w:pos="9071"/>
        </w:tabs>
        <w:rPr>
          <w:caps/>
          <w:color w:val="000000"/>
          <w:szCs w:val="24"/>
          <w:lang w:eastAsia="lt-LT"/>
        </w:rPr>
      </w:pPr>
    </w:p>
    <w:p>
      <w:pPr>
        <w:widowControl w:val="0"/>
        <w:tabs>
          <w:tab w:val="right" w:pos="9071"/>
        </w:tabs>
        <w:rPr>
          <w:caps/>
          <w:color w:val="000000"/>
          <w:szCs w:val="24"/>
          <w:lang w:eastAsia="lt-LT"/>
        </w:rPr>
      </w:pPr>
    </w:p>
    <w:p>
      <w:pPr>
        <w:widowControl w:val="0"/>
        <w:tabs>
          <w:tab w:val="right" w:pos="9071"/>
        </w:tabs>
        <w:rPr>
          <w:caps/>
          <w:color w:val="000000"/>
          <w:szCs w:val="24"/>
          <w:lang w:eastAsia="lt-LT"/>
        </w:rPr>
      </w:pPr>
    </w:p>
    <w:p>
      <w:pPr>
        <w:widowControl w:val="0"/>
        <w:tabs>
          <w:tab w:val="right" w:pos="9071"/>
        </w:tabs>
        <w:rPr>
          <w:color w:val="000000"/>
          <w:szCs w:val="24"/>
          <w:lang w:eastAsia="lt-LT"/>
        </w:rPr>
      </w:pPr>
      <w:r>
        <w:rPr>
          <w:caps/>
          <w:color w:val="000000"/>
          <w:szCs w:val="24"/>
          <w:lang w:eastAsia="lt-LT"/>
        </w:rPr>
        <w:t>Socialinės apsaugos ir darbo ministrė</w:t>
        <w:tab/>
        <w:t>Algimanta Pabedinskienė</w:t>
      </w:r>
    </w:p>
    <w:p/>
    <w:p>
      <w:pPr>
        <w:widowControl w:val="0"/>
        <w:ind w:firstLine="4253"/>
        <w:sectPr>
          <w:pgSz w:w="11906" w:h="16838"/>
          <w:pgMar w:top="1134" w:right="567" w:bottom="1134" w:left="1701" w:header="720" w:footer="720" w:gutter="0"/>
          <w:cols w:space="720"/>
          <w:docGrid w:linePitch="360"/>
        </w:sectPr>
      </w:pPr>
    </w:p>
    <w:p>
      <w:pPr>
        <w:widowControl w:val="0"/>
        <w:ind w:firstLine="4253"/>
        <w:rPr>
          <w:color w:val="000000"/>
          <w:szCs w:val="24"/>
          <w:lang w:eastAsia="lt-LT"/>
        </w:rPr>
      </w:pPr>
      <w:r>
        <w:rPr>
          <w:color w:val="000000"/>
          <w:szCs w:val="24"/>
          <w:lang w:eastAsia="lt-LT"/>
        </w:rPr>
        <w:t>PATVIRTINTA</w:t>
      </w:r>
    </w:p>
    <w:p>
      <w:pPr>
        <w:widowControl w:val="0"/>
        <w:ind w:firstLine="4253"/>
        <w:rPr>
          <w:color w:val="000000"/>
          <w:szCs w:val="24"/>
          <w:lang w:eastAsia="lt-LT"/>
        </w:rPr>
      </w:pPr>
      <w:r>
        <w:rPr>
          <w:color w:val="000000"/>
          <w:szCs w:val="24"/>
          <w:lang w:eastAsia="lt-LT"/>
        </w:rPr>
        <w:t xml:space="preserve">Lietuvos Respublikos socialinės apsaugos ir </w:t>
      </w:r>
    </w:p>
    <w:p>
      <w:pPr>
        <w:widowControl w:val="0"/>
        <w:ind w:firstLine="4253"/>
        <w:rPr>
          <w:color w:val="000000"/>
          <w:szCs w:val="24"/>
          <w:lang w:eastAsia="lt-LT"/>
        </w:rPr>
      </w:pPr>
      <w:r>
        <w:rPr>
          <w:color w:val="000000"/>
          <w:szCs w:val="24"/>
          <w:lang w:eastAsia="lt-LT"/>
        </w:rPr>
        <w:t xml:space="preserve">darbo ministro </w:t>
      </w:r>
    </w:p>
    <w:p>
      <w:pPr>
        <w:ind w:firstLine="4253"/>
        <w:rPr>
          <w:color w:val="000000"/>
          <w:szCs w:val="24"/>
          <w:lang w:eastAsia="lt-LT"/>
        </w:rPr>
      </w:pPr>
      <w:r>
        <w:rPr>
          <w:color w:val="000000"/>
          <w:szCs w:val="24"/>
          <w:lang w:eastAsia="lt-LT"/>
        </w:rPr>
        <w:t>2013 m. rugsėjo 9 d. įsakymu Nr. A1-502</w:t>
      </w:r>
    </w:p>
    <w:p>
      <w:pPr>
        <w:ind w:firstLine="4253"/>
        <w:rPr>
          <w:szCs w:val="24"/>
        </w:rPr>
      </w:pPr>
      <w:r>
        <w:rPr>
          <w:szCs w:val="24"/>
        </w:rPr>
        <w:t>(Lietuvos Respublikos socialinės</w:t>
      </w:r>
    </w:p>
    <w:p>
      <w:pPr>
        <w:ind w:firstLine="4253"/>
        <w:rPr>
          <w:szCs w:val="24"/>
        </w:rPr>
      </w:pPr>
      <w:r>
        <w:rPr>
          <w:szCs w:val="24"/>
        </w:rPr>
        <w:t>apsaugos ir darbo ministro</w:t>
      </w:r>
    </w:p>
    <w:p>
      <w:pPr>
        <w:ind w:firstLine="4253"/>
        <w:rPr>
          <w:szCs w:val="24"/>
        </w:rPr>
      </w:pPr>
      <w:r>
        <w:rPr>
          <w:szCs w:val="24"/>
        </w:rPr>
        <w:t>2024 m. rugsėjo 30 d. įsakymo Nr. A1-643</w:t>
      </w:r>
    </w:p>
    <w:p>
      <w:pPr>
        <w:ind w:firstLine="4253"/>
        <w:rPr>
          <w:szCs w:val="24"/>
        </w:rPr>
      </w:pPr>
      <w:r>
        <w:rPr>
          <w:szCs w:val="24"/>
        </w:rPr>
        <w:t>redakcija)</w:t>
      </w:r>
    </w:p>
    <w:p>
      <w:pPr>
        <w:ind w:firstLine="709"/>
        <w:rPr>
          <w:szCs w:val="24"/>
        </w:rPr>
      </w:pPr>
    </w:p>
    <w:p>
      <w:pPr>
        <w:ind w:firstLine="709"/>
        <w:rPr>
          <w:szCs w:val="24"/>
        </w:rPr>
      </w:pPr>
    </w:p>
    <w:p>
      <w:pPr>
        <w:widowControl w:val="0"/>
        <w:jc w:val="center"/>
        <w:rPr>
          <w:b/>
          <w:bCs/>
          <w:caps/>
          <w:color w:val="000000"/>
          <w:szCs w:val="24"/>
          <w:lang w:eastAsia="lt-LT"/>
        </w:rPr>
      </w:pPr>
      <w:r>
        <w:rPr>
          <w:b/>
          <w:bCs/>
          <w:caps/>
          <w:color w:val="000000"/>
          <w:szCs w:val="24"/>
          <w:lang w:eastAsia="lt-LT"/>
        </w:rPr>
        <w:t>DARBUOTOJŲ SAUGOS IR SVEIKATOS KOMITETŲ BENDRIEJI NUOSTATAI</w:t>
      </w:r>
    </w:p>
    <w:p>
      <w:pPr>
        <w:widowControl w:val="0"/>
        <w:jc w:val="center"/>
        <w:rPr>
          <w:b/>
          <w:bCs/>
          <w:caps/>
          <w:color w:val="000000"/>
          <w:szCs w:val="24"/>
          <w:lang w:eastAsia="lt-LT"/>
        </w:rPr>
      </w:pPr>
    </w:p>
    <w:p>
      <w:pPr>
        <w:widowControl w:val="0"/>
        <w:jc w:val="center"/>
        <w:rPr>
          <w:b/>
          <w:bCs/>
          <w:caps/>
          <w:color w:val="000000"/>
          <w:szCs w:val="24"/>
          <w:lang w:eastAsia="lt-LT"/>
        </w:rPr>
      </w:pPr>
      <w:r>
        <w:rPr>
          <w:b/>
          <w:bCs/>
          <w:caps/>
          <w:color w:val="000000"/>
          <w:szCs w:val="24"/>
          <w:lang w:eastAsia="lt-LT"/>
        </w:rPr>
        <w:t>I</w:t>
      </w:r>
      <w:r>
        <w:rPr>
          <w:b/>
          <w:bCs/>
          <w:caps/>
          <w:color w:val="000000"/>
          <w:szCs w:val="24"/>
          <w:lang w:eastAsia="lt-LT"/>
        </w:rPr>
        <w:t xml:space="preserve"> SKYRIUS </w:t>
      </w:r>
    </w:p>
    <w:p>
      <w:pPr>
        <w:widowControl w:val="0"/>
        <w:ind w:firstLine="53"/>
        <w:jc w:val="center"/>
        <w:rPr>
          <w:b/>
          <w:bCs/>
          <w:caps/>
          <w:color w:val="000000"/>
          <w:szCs w:val="24"/>
          <w:lang w:eastAsia="lt-LT"/>
        </w:rPr>
      </w:pPr>
      <w:r>
        <w:rPr>
          <w:b/>
          <w:bCs/>
          <w:caps/>
          <w:color w:val="000000"/>
          <w:szCs w:val="24"/>
          <w:lang w:eastAsia="lt-LT"/>
        </w:rPr>
        <w:t>BENDROSIOS NUOSTATOS</w:t>
      </w:r>
    </w:p>
    <w:p>
      <w:pPr>
        <w:widowControl w:val="0"/>
        <w:ind w:firstLine="567"/>
        <w:rPr>
          <w:color w:val="000000"/>
          <w:szCs w:val="24"/>
          <w:lang w:eastAsia="lt-LT"/>
        </w:rPr>
      </w:pPr>
    </w:p>
    <w:p>
      <w:pPr>
        <w:widowControl w:val="0"/>
        <w:tabs>
          <w:tab w:val="left" w:pos="851"/>
        </w:tabs>
        <w:ind w:firstLine="567"/>
        <w:jc w:val="both"/>
        <w:rPr>
          <w:color w:val="000000"/>
          <w:szCs w:val="24"/>
          <w:lang w:eastAsia="lt-LT"/>
        </w:rPr>
      </w:pPr>
      <w:r>
        <w:rPr>
          <w:color w:val="000000"/>
          <w:szCs w:val="24"/>
          <w:lang w:eastAsia="lt-LT"/>
        </w:rPr>
        <w:t>1</w:t>
      </w:r>
      <w:r>
        <w:rPr>
          <w:color w:val="000000"/>
          <w:szCs w:val="24"/>
          <w:lang w:eastAsia="lt-LT"/>
        </w:rPr>
        <w:t>.</w:t>
        <w:tab/>
        <w:t>Darbuotojų saugos ir sveikatos komitetų bendrieji nuostatai (toliau – Nuostatai) nustato darbuotojų saugos ir sveikatos komiteto, numatyto Lietuvos Respublikos darbuotojų saugos ir sveikatos įstatymo 13</w:t>
      </w:r>
      <w:r>
        <w:rPr>
          <w:b/>
          <w:bCs/>
          <w:color w:val="000000"/>
          <w:szCs w:val="24"/>
          <w:lang w:eastAsia="lt-LT"/>
        </w:rPr>
        <w:t> </w:t>
      </w:r>
      <w:r>
        <w:rPr>
          <w:color w:val="000000"/>
          <w:szCs w:val="24"/>
          <w:lang w:eastAsia="lt-LT"/>
        </w:rPr>
        <w:t>straipsnyje, (toliau – komitetas) nuostatų turinį, komiteto funkcijas, posėdžių organizavimo tvarką, komiteto nutarimus ir informacijos skelbimą.</w:t>
      </w:r>
    </w:p>
    <w:p>
      <w:pPr>
        <w:widowControl w:val="0"/>
        <w:tabs>
          <w:tab w:val="left" w:pos="851"/>
        </w:tabs>
        <w:ind w:firstLine="567"/>
        <w:jc w:val="both"/>
        <w:rPr>
          <w:color w:val="000000"/>
          <w:szCs w:val="24"/>
          <w:lang w:eastAsia="lt-LT"/>
        </w:rPr>
      </w:pPr>
      <w:r>
        <w:rPr>
          <w:color w:val="000000"/>
          <w:szCs w:val="24"/>
          <w:lang w:eastAsia="lt-LT"/>
        </w:rPr>
        <w:t>2</w:t>
      </w:r>
      <w:r>
        <w:rPr>
          <w:color w:val="000000"/>
          <w:szCs w:val="24"/>
          <w:lang w:eastAsia="lt-LT"/>
        </w:rPr>
        <w:t>.</w:t>
        <w:tab/>
        <w:t>Nuostatuose vartojamos sąvokos atitinka Lietuvos Respublikos darbo kodekse, Darbuotojų saugos ir sveikatos įstatyme apibrėžtas sąvokas.</w:t>
      </w:r>
    </w:p>
    <w:p>
      <w:pPr>
        <w:widowControl w:val="0"/>
        <w:tabs>
          <w:tab w:val="left" w:pos="851"/>
        </w:tabs>
        <w:ind w:firstLine="567"/>
        <w:jc w:val="both"/>
        <w:rPr>
          <w:color w:val="000000"/>
          <w:szCs w:val="24"/>
          <w:lang w:eastAsia="lt-LT"/>
        </w:rPr>
      </w:pPr>
      <w:r>
        <w:rPr>
          <w:color w:val="000000"/>
          <w:szCs w:val="24"/>
          <w:lang w:eastAsia="lt-LT"/>
        </w:rPr>
        <w:t>3</w:t>
      </w:r>
      <w:r>
        <w:rPr>
          <w:color w:val="000000"/>
          <w:szCs w:val="24"/>
          <w:lang w:eastAsia="lt-LT"/>
        </w:rPr>
        <w:t>.</w:t>
        <w:tab/>
        <w:t xml:space="preserve">Įmonėje, įstaigoje ar organizacijoje (toliau – įmonė) ar laive komitetas steigiamas ir jo veikla organizuojama vadovaujantis Darbuotojų saugos ir sveikatos įstatymo 13 straipsnio 2 ir 4 dalimis ir įmonės ar laivo komiteto nuostatais. </w:t>
      </w:r>
    </w:p>
    <w:p>
      <w:pPr>
        <w:widowControl w:val="0"/>
        <w:tabs>
          <w:tab w:val="left" w:pos="851"/>
        </w:tabs>
        <w:ind w:firstLine="567"/>
        <w:jc w:val="both"/>
        <w:rPr>
          <w:color w:val="000000"/>
          <w:szCs w:val="24"/>
          <w:lang w:eastAsia="lt-LT"/>
        </w:rPr>
      </w:pPr>
      <w:r>
        <w:rPr>
          <w:color w:val="000000"/>
          <w:szCs w:val="24"/>
          <w:lang w:eastAsia="lt-LT"/>
        </w:rPr>
        <w:t>4</w:t>
      </w:r>
      <w:r>
        <w:rPr>
          <w:color w:val="000000"/>
          <w:szCs w:val="24"/>
          <w:lang w:eastAsia="lt-LT"/>
        </w:rPr>
        <w:t>.</w:t>
        <w:tab/>
        <w:t>Komiteto nuostatuose nustatomas komiteto narių skaičius, komiteto narių darbuotojų atstovų saugai ir sveikatai išrinkimo tvarka, komiteto funkcijos, komiteto posėdžių (planinių ir neplaninių) organizavimas, komiteto veiklos plano laikotarpis, prašymų ir informacijos pateikimo komitetui būdai ar tvarka, taip pat gali būti nustatoma komiteto pirmininko pavadavimo tvarka, komiteto narių įgaliojimo laikotarpis, kitos nuostatos, susijusios su komiteto veikla.</w:t>
      </w:r>
    </w:p>
    <w:p>
      <w:pPr>
        <w:widowControl w:val="0"/>
        <w:tabs>
          <w:tab w:val="left" w:pos="851"/>
        </w:tabs>
        <w:ind w:firstLine="567"/>
        <w:jc w:val="both"/>
        <w:rPr>
          <w:color w:val="000000"/>
          <w:szCs w:val="24"/>
          <w:lang w:eastAsia="lt-LT"/>
        </w:rPr>
      </w:pPr>
      <w:r>
        <w:rPr>
          <w:color w:val="000000"/>
          <w:szCs w:val="24"/>
          <w:lang w:eastAsia="lt-LT"/>
        </w:rPr>
        <w:t>5</w:t>
      </w:r>
      <w:r>
        <w:rPr>
          <w:color w:val="000000"/>
          <w:szCs w:val="24"/>
          <w:lang w:eastAsia="lt-LT"/>
        </w:rPr>
        <w:t>.</w:t>
        <w:tab/>
        <w:t xml:space="preserve">Ekonominės veiklos rūšys, kurių įmonėse yra didesnė profesinė rizika ir kurių įmonėse rekomenduojama steigti komitetą, jeigu įmonės vidutinis darbdavio darbuotojų skaičius yra mažesnis negu 50, nurodytos Nuostatų priede. </w:t>
      </w:r>
    </w:p>
    <w:p>
      <w:pPr>
        <w:widowControl w:val="0"/>
        <w:ind w:firstLine="567"/>
        <w:rPr>
          <w:color w:val="000000"/>
          <w:szCs w:val="24"/>
          <w:lang w:eastAsia="lt-LT"/>
        </w:rPr>
      </w:pPr>
    </w:p>
    <w:p>
      <w:pPr>
        <w:widowControl w:val="0"/>
        <w:jc w:val="center"/>
        <w:rPr>
          <w:b/>
          <w:bCs/>
          <w:caps/>
          <w:color w:val="000000"/>
          <w:szCs w:val="24"/>
          <w:lang w:eastAsia="lt-LT"/>
        </w:rPr>
      </w:pPr>
      <w:r>
        <w:rPr>
          <w:b/>
          <w:bCs/>
          <w:caps/>
          <w:color w:val="000000"/>
          <w:szCs w:val="24"/>
          <w:lang w:eastAsia="lt-LT"/>
        </w:rPr>
        <w:t>II</w:t>
      </w:r>
      <w:r>
        <w:rPr>
          <w:b/>
          <w:bCs/>
          <w:caps/>
          <w:color w:val="000000"/>
          <w:szCs w:val="24"/>
          <w:lang w:eastAsia="lt-LT"/>
        </w:rPr>
        <w:t xml:space="preserve"> SKYRIUS </w:t>
      </w:r>
    </w:p>
    <w:p>
      <w:pPr>
        <w:widowControl w:val="0"/>
        <w:jc w:val="center"/>
        <w:rPr>
          <w:b/>
          <w:bCs/>
          <w:caps/>
          <w:color w:val="000000"/>
          <w:szCs w:val="24"/>
          <w:lang w:eastAsia="lt-LT"/>
        </w:rPr>
      </w:pPr>
      <w:r>
        <w:rPr>
          <w:b/>
          <w:bCs/>
          <w:caps/>
          <w:color w:val="000000"/>
          <w:szCs w:val="24"/>
          <w:lang w:eastAsia="lt-LT"/>
        </w:rPr>
        <w:t>KOMITETO funkcijos</w:t>
      </w:r>
    </w:p>
    <w:p>
      <w:pPr>
        <w:widowControl w:val="0"/>
        <w:ind w:firstLine="567"/>
        <w:rPr>
          <w:color w:val="000000"/>
          <w:szCs w:val="24"/>
          <w:lang w:eastAsia="lt-LT"/>
        </w:rPr>
      </w:pPr>
    </w:p>
    <w:p>
      <w:pPr>
        <w:widowControl w:val="0"/>
        <w:tabs>
          <w:tab w:val="left" w:pos="851"/>
        </w:tabs>
        <w:ind w:firstLine="567"/>
        <w:jc w:val="both"/>
        <w:rPr>
          <w:color w:val="000000"/>
          <w:szCs w:val="24"/>
          <w:lang w:eastAsia="lt-LT"/>
        </w:rPr>
      </w:pPr>
      <w:r>
        <w:rPr>
          <w:color w:val="000000"/>
          <w:szCs w:val="24"/>
          <w:lang w:eastAsia="lt-LT"/>
        </w:rPr>
        <w:t>6</w:t>
      </w:r>
      <w:r>
        <w:rPr>
          <w:color w:val="000000"/>
          <w:szCs w:val="24"/>
          <w:lang w:eastAsia="lt-LT"/>
        </w:rPr>
        <w:t>.</w:t>
        <w:tab/>
        <w:t>Komitetas atlieka šias funkcijas:</w:t>
      </w:r>
    </w:p>
    <w:p>
      <w:pPr>
        <w:widowControl w:val="0"/>
        <w:tabs>
          <w:tab w:val="left" w:pos="1134"/>
        </w:tabs>
        <w:ind w:firstLine="567"/>
        <w:jc w:val="both"/>
        <w:rPr>
          <w:color w:val="000000"/>
          <w:szCs w:val="24"/>
          <w:lang w:eastAsia="lt-LT"/>
        </w:rPr>
      </w:pPr>
      <w:r>
        <w:rPr>
          <w:color w:val="000000"/>
          <w:szCs w:val="24"/>
          <w:lang w:eastAsia="lt-LT"/>
        </w:rPr>
        <w:t>6.1</w:t>
      </w:r>
      <w:r>
        <w:rPr>
          <w:color w:val="000000"/>
          <w:szCs w:val="24"/>
          <w:lang w:eastAsia="lt-LT"/>
        </w:rPr>
        <w:t>.</w:t>
        <w:tab/>
        <w:t>išklauso ar savarankiškai susipažįsta su komiteto nariams pateikta informacija apie darbuotojų saugos ir sveikatos norminių teisės aktų reikalavimų įgyvendinimą įmonėje, laive, svarsto darbuotojų saugos ir sveikatos įmonėje ar laive užtikrinimo klausimus, nagrinėja nelaimingų atsitikimų darbe, incidentų ir profesinių ligų priežastis bei aplinkybes ir teikia darbdaviui atstovaujančiam asmeniui pasiūlymus dėl darbuotojų saugos ir sveikatos būklės įmonėje ar laive gerinimo, įskaitant dėl profesinės rizikos vertinimo organizavimo ir prevencinių priemonių nelaimingiems atsitikimams darbe bei profesinėms ligoms išvengti. Svarstomi klausimai:</w:t>
      </w:r>
    </w:p>
    <w:p>
      <w:pPr>
        <w:widowControl w:val="0"/>
        <w:tabs>
          <w:tab w:val="left" w:pos="1276"/>
        </w:tabs>
        <w:ind w:firstLine="567"/>
        <w:jc w:val="both"/>
        <w:rPr>
          <w:color w:val="000000"/>
          <w:szCs w:val="24"/>
          <w:lang w:eastAsia="lt-LT"/>
        </w:rPr>
      </w:pPr>
      <w:r>
        <w:rPr>
          <w:color w:val="000000"/>
          <w:szCs w:val="24"/>
          <w:lang w:eastAsia="lt-LT"/>
        </w:rPr>
        <w:t>6.1.1</w:t>
      </w:r>
      <w:r>
        <w:rPr>
          <w:color w:val="000000"/>
          <w:szCs w:val="24"/>
          <w:lang w:eastAsia="lt-LT"/>
        </w:rPr>
        <w:t>.</w:t>
        <w:tab/>
        <w:t>įmonės ar laivo darbuotojų darbuotojų saugos ir sveikatos specialistų ir profesinės sveikatos specialistų, juridinio asmens darbuotojų saugos ir sveikatos specialistų ir profesinės sveikatos specialistų ar fizinių asmenų, įmonėje ar laive atliekančių darbuotojų saugos ir sveikatos tarnybos funkcijas ar jų dalį, ir (ar) kitų darbdavio įgaliotų asmenų informacija apie įmonėje ar laive:</w:t>
      </w:r>
    </w:p>
    <w:p>
      <w:pPr>
        <w:widowControl w:val="0"/>
        <w:ind w:firstLine="567"/>
        <w:jc w:val="both"/>
        <w:rPr>
          <w:color w:val="000000"/>
          <w:szCs w:val="24"/>
          <w:lang w:eastAsia="lt-LT"/>
        </w:rPr>
      </w:pPr>
      <w:r>
        <w:rPr>
          <w:color w:val="000000"/>
          <w:szCs w:val="24"/>
          <w:lang w:eastAsia="lt-LT"/>
        </w:rPr>
        <w:t>6.1.1.1</w:t>
      </w:r>
      <w:r>
        <w:rPr>
          <w:color w:val="000000"/>
          <w:szCs w:val="24"/>
          <w:lang w:eastAsia="lt-LT"/>
        </w:rPr>
        <w:t>.</w:t>
        <w:tab/>
        <w:t>įvykius darbe, dėl kurių darbuotojai patyrė žalą sveikatai, jų tyrimo eigą, nelaimingus atsitikimus darbe, incidentus, nustatytas profesines ligas;</w:t>
      </w:r>
    </w:p>
    <w:p>
      <w:pPr>
        <w:widowControl w:val="0"/>
        <w:ind w:firstLine="567"/>
        <w:jc w:val="both"/>
        <w:rPr>
          <w:color w:val="000000"/>
          <w:szCs w:val="24"/>
          <w:lang w:eastAsia="lt-LT"/>
        </w:rPr>
      </w:pPr>
      <w:r>
        <w:rPr>
          <w:color w:val="000000"/>
          <w:szCs w:val="24"/>
          <w:lang w:eastAsia="lt-LT"/>
        </w:rPr>
        <w:t>6.1.1.2</w:t>
      </w:r>
      <w:r>
        <w:rPr>
          <w:color w:val="000000"/>
          <w:szCs w:val="24"/>
          <w:lang w:eastAsia="lt-LT"/>
        </w:rPr>
        <w:t>.</w:t>
        <w:tab/>
        <w:t>asmenų iki aštuoniolikos metų, nėščių, neseniai pagimdžiusių ir krūtimi maitinančių darbuotojų darbo sąlygas;</w:t>
      </w:r>
    </w:p>
    <w:p>
      <w:pPr>
        <w:widowControl w:val="0"/>
        <w:ind w:firstLine="567"/>
        <w:jc w:val="both"/>
        <w:rPr>
          <w:color w:val="000000"/>
          <w:szCs w:val="24"/>
          <w:lang w:eastAsia="lt-LT"/>
        </w:rPr>
      </w:pPr>
      <w:r>
        <w:rPr>
          <w:color w:val="000000"/>
          <w:szCs w:val="24"/>
          <w:lang w:eastAsia="lt-LT"/>
        </w:rPr>
        <w:t>6.1.1.3</w:t>
      </w:r>
      <w:r>
        <w:rPr>
          <w:color w:val="000000"/>
          <w:szCs w:val="24"/>
          <w:lang w:eastAsia="lt-LT"/>
        </w:rPr>
        <w:t>.</w:t>
        <w:tab/>
        <w:t>darbo vietų, darbo procesų pritaikymą darbuotojų fiziologinėms ir psichologinėms galimybėms;</w:t>
      </w:r>
    </w:p>
    <w:p>
      <w:pPr>
        <w:widowControl w:val="0"/>
        <w:ind w:firstLine="567"/>
        <w:jc w:val="both"/>
        <w:rPr>
          <w:color w:val="000000"/>
          <w:szCs w:val="24"/>
          <w:lang w:eastAsia="lt-LT"/>
        </w:rPr>
      </w:pPr>
      <w:r>
        <w:rPr>
          <w:color w:val="000000"/>
          <w:szCs w:val="24"/>
          <w:lang w:eastAsia="lt-LT"/>
        </w:rPr>
        <w:t>6.1.1.4</w:t>
      </w:r>
      <w:r>
        <w:rPr>
          <w:color w:val="000000"/>
          <w:szCs w:val="24"/>
          <w:lang w:eastAsia="lt-LT"/>
        </w:rPr>
        <w:t>.</w:t>
        <w:tab/>
        <w:t>darbuotojų saugos ir sveikatos būklę, profesinės rizikos vertinimo rezultatus, stebėseną, darbdavio planuojamas ir įgyvendinamas darbuotojų saugos ir sveikatos užtikrinimo priemones;</w:t>
      </w:r>
    </w:p>
    <w:p>
      <w:pPr>
        <w:widowControl w:val="0"/>
        <w:ind w:firstLine="567"/>
        <w:jc w:val="both"/>
        <w:rPr>
          <w:color w:val="000000"/>
          <w:szCs w:val="24"/>
          <w:lang w:eastAsia="lt-LT"/>
        </w:rPr>
      </w:pPr>
      <w:r>
        <w:rPr>
          <w:color w:val="000000"/>
          <w:szCs w:val="24"/>
          <w:lang w:eastAsia="lt-LT"/>
        </w:rPr>
        <w:t>6.1.1.5</w:t>
      </w:r>
      <w:r>
        <w:rPr>
          <w:color w:val="000000"/>
          <w:szCs w:val="24"/>
          <w:lang w:eastAsia="lt-LT"/>
        </w:rPr>
        <w:t>.</w:t>
        <w:tab/>
        <w:t>darbuotojų saugos ir sveikatos reikalavimų laikymąsi ir darbuotojų saugos ir sveikatos vidinę kontrolę;</w:t>
      </w:r>
    </w:p>
    <w:p>
      <w:pPr>
        <w:widowControl w:val="0"/>
        <w:ind w:firstLine="567"/>
        <w:jc w:val="both"/>
        <w:rPr>
          <w:color w:val="000000"/>
          <w:szCs w:val="24"/>
          <w:lang w:eastAsia="lt-LT"/>
        </w:rPr>
      </w:pPr>
      <w:r>
        <w:rPr>
          <w:color w:val="000000"/>
          <w:szCs w:val="24"/>
          <w:lang w:eastAsia="lt-LT"/>
        </w:rPr>
        <w:t>6.1.1.6</w:t>
      </w:r>
      <w:r>
        <w:rPr>
          <w:color w:val="000000"/>
          <w:szCs w:val="24"/>
          <w:lang w:eastAsia="lt-LT"/>
        </w:rPr>
        <w:t>.</w:t>
        <w:tab/>
        <w:t>darbuotojų, įskaitant darbuotojų atstovų saugai ir sveikatai ir komiteto narių, instruktavimo ir mokymo darbuotojų saugos ir sveikatos klausimais, įskaitant pirmosios pagalbos teikimo mokymus, organizavimą;</w:t>
      </w:r>
    </w:p>
    <w:p>
      <w:pPr>
        <w:widowControl w:val="0"/>
        <w:ind w:firstLine="567"/>
        <w:jc w:val="both"/>
        <w:rPr>
          <w:color w:val="000000"/>
          <w:szCs w:val="24"/>
          <w:lang w:eastAsia="lt-LT"/>
        </w:rPr>
      </w:pPr>
      <w:r>
        <w:rPr>
          <w:color w:val="000000"/>
          <w:szCs w:val="24"/>
          <w:lang w:eastAsia="lt-LT"/>
        </w:rPr>
        <w:t>6.1.1.7</w:t>
      </w:r>
      <w:r>
        <w:rPr>
          <w:color w:val="000000"/>
          <w:szCs w:val="24"/>
          <w:lang w:eastAsia="lt-LT"/>
        </w:rPr>
        <w:t>.</w:t>
        <w:tab/>
        <w:t xml:space="preserve">darbuotojų aprūpinimą buities, sanitarinėmis ir higienos patalpomis; </w:t>
      </w:r>
    </w:p>
    <w:p>
      <w:pPr>
        <w:widowControl w:val="0"/>
        <w:ind w:firstLine="567"/>
        <w:jc w:val="both"/>
        <w:rPr>
          <w:color w:val="000000"/>
          <w:szCs w:val="24"/>
          <w:lang w:eastAsia="lt-LT"/>
        </w:rPr>
      </w:pPr>
      <w:r>
        <w:rPr>
          <w:color w:val="000000"/>
          <w:szCs w:val="24"/>
          <w:lang w:eastAsia="lt-LT"/>
        </w:rPr>
        <w:t>6.1.1.8</w:t>
      </w:r>
      <w:r>
        <w:rPr>
          <w:color w:val="000000"/>
          <w:szCs w:val="24"/>
          <w:lang w:eastAsia="lt-LT"/>
        </w:rPr>
        <w:t>.</w:t>
        <w:tab/>
        <w:t>darbuotojų aprūpinimą kolektyvinėmis ir asmeninėmis apsaugos priemonėmis;</w:t>
      </w:r>
    </w:p>
    <w:p>
      <w:pPr>
        <w:widowControl w:val="0"/>
        <w:ind w:firstLine="567"/>
        <w:jc w:val="both"/>
        <w:rPr>
          <w:color w:val="000000"/>
          <w:szCs w:val="24"/>
          <w:lang w:eastAsia="lt-LT"/>
        </w:rPr>
      </w:pPr>
      <w:r>
        <w:rPr>
          <w:color w:val="000000"/>
          <w:szCs w:val="24"/>
          <w:lang w:eastAsia="lt-LT"/>
        </w:rPr>
        <w:t>6.1.1.9</w:t>
      </w:r>
      <w:r>
        <w:rPr>
          <w:color w:val="000000"/>
          <w:szCs w:val="24"/>
          <w:lang w:eastAsia="lt-LT"/>
        </w:rPr>
        <w:t>.</w:t>
        <w:tab/>
        <w:t>darbuotojų sveikatos priežiūrą, privalomų sveikatos tikrinimų organizavimą ir jų apibendrintus rezultatus, įgyvendinamas darbuotojų sveikatos stiprinimo priemones;</w:t>
      </w:r>
    </w:p>
    <w:p>
      <w:pPr>
        <w:widowControl w:val="0"/>
        <w:tabs>
          <w:tab w:val="left" w:pos="1701"/>
        </w:tabs>
        <w:ind w:firstLine="567"/>
        <w:jc w:val="both"/>
        <w:rPr>
          <w:color w:val="000000"/>
          <w:szCs w:val="24"/>
          <w:lang w:eastAsia="lt-LT"/>
        </w:rPr>
      </w:pPr>
      <w:r>
        <w:rPr>
          <w:color w:val="000000"/>
          <w:szCs w:val="24"/>
          <w:lang w:eastAsia="lt-LT"/>
        </w:rPr>
        <w:t>6.1.1.10</w:t>
      </w:r>
      <w:r>
        <w:rPr>
          <w:color w:val="000000"/>
          <w:szCs w:val="24"/>
          <w:lang w:eastAsia="lt-LT"/>
        </w:rPr>
        <w:t>.</w:t>
        <w:tab/>
        <w:t>darbuotojų saugos ir sveikatos vietinius (lokalinius) norminius teisės aktus;</w:t>
      </w:r>
    </w:p>
    <w:p>
      <w:pPr>
        <w:widowControl w:val="0"/>
        <w:tabs>
          <w:tab w:val="left" w:pos="1418"/>
        </w:tabs>
        <w:ind w:firstLine="567"/>
        <w:jc w:val="both"/>
        <w:rPr>
          <w:color w:val="000000"/>
          <w:szCs w:val="24"/>
          <w:lang w:eastAsia="lt-LT"/>
        </w:rPr>
      </w:pPr>
      <w:r>
        <w:rPr>
          <w:color w:val="000000"/>
          <w:szCs w:val="24"/>
          <w:lang w:eastAsia="lt-LT"/>
        </w:rPr>
        <w:t>6.1.2</w:t>
      </w:r>
      <w:r>
        <w:rPr>
          <w:color w:val="000000"/>
          <w:szCs w:val="24"/>
          <w:lang w:eastAsia="lt-LT"/>
        </w:rPr>
        <w:t>.</w:t>
        <w:tab/>
        <w:t>darbdaviui atstovaujančio asmens informacija apie jo nustatomą, organizuojamą ar keičiamą darbuotojų saugos ir sveikatos vidinės kontrolės įmonėje tvarką, įpareigojimus padalinių vadovams dėl darbuotojų saugos ir sveikatos vidinės kontrolės ir priemonių įgyvendinimo įmonėje ar laive, padaliniuose, darbo vietose;</w:t>
      </w:r>
    </w:p>
    <w:p>
      <w:pPr>
        <w:widowControl w:val="0"/>
        <w:tabs>
          <w:tab w:val="left" w:pos="1418"/>
        </w:tabs>
        <w:ind w:firstLine="567"/>
        <w:jc w:val="both"/>
        <w:rPr>
          <w:color w:val="000000"/>
          <w:szCs w:val="24"/>
          <w:lang w:eastAsia="lt-LT"/>
        </w:rPr>
      </w:pPr>
      <w:r>
        <w:rPr>
          <w:color w:val="000000"/>
          <w:szCs w:val="24"/>
          <w:lang w:eastAsia="lt-LT"/>
        </w:rPr>
        <w:t>6.1.3</w:t>
      </w:r>
      <w:r>
        <w:rPr>
          <w:color w:val="000000"/>
          <w:szCs w:val="24"/>
          <w:lang w:eastAsia="lt-LT"/>
        </w:rPr>
        <w:t>.</w:t>
        <w:tab/>
        <w:t xml:space="preserve"> darbuotojų atstovų saugai ir sveikatai informacija apie darbuotojų saugos ir sveikatos teisės aktų reikalavimų įgyvendinimą padaliniuose, darbuotojų atstovų saugai ir sveikatai dalyvavimą Darbuotojų saugos ir sveikatos įstatymo 13 straipsnio 5 dalyje nurodytose veiklose;</w:t>
      </w:r>
    </w:p>
    <w:p>
      <w:pPr>
        <w:widowControl w:val="0"/>
        <w:tabs>
          <w:tab w:val="left" w:pos="1134"/>
        </w:tabs>
        <w:ind w:firstLine="567"/>
        <w:jc w:val="both"/>
        <w:rPr>
          <w:color w:val="000000"/>
          <w:szCs w:val="24"/>
          <w:lang w:eastAsia="lt-LT"/>
        </w:rPr>
      </w:pPr>
      <w:r>
        <w:rPr>
          <w:color w:val="000000"/>
          <w:szCs w:val="24"/>
          <w:lang w:eastAsia="lt-LT"/>
        </w:rPr>
        <w:t>6.2</w:t>
      </w:r>
      <w:r>
        <w:rPr>
          <w:color w:val="000000"/>
          <w:szCs w:val="24"/>
          <w:lang w:eastAsia="lt-LT"/>
        </w:rPr>
        <w:t>.</w:t>
        <w:tab/>
        <w:t>Darbuotojų saugos ir sveikatos įstatymo 22 straipsnio 9 dalyje nustatytais atvejais sprendžia dėl reikalavimų sustabdyti darbus;</w:t>
      </w:r>
    </w:p>
    <w:p>
      <w:pPr>
        <w:widowControl w:val="0"/>
        <w:tabs>
          <w:tab w:val="left" w:pos="1134"/>
        </w:tabs>
        <w:ind w:firstLine="567"/>
        <w:jc w:val="both"/>
        <w:rPr>
          <w:color w:val="000000"/>
          <w:szCs w:val="24"/>
          <w:lang w:eastAsia="lt-LT"/>
        </w:rPr>
      </w:pPr>
      <w:r>
        <w:rPr>
          <w:color w:val="000000"/>
          <w:szCs w:val="24"/>
          <w:lang w:eastAsia="lt-LT"/>
        </w:rPr>
        <w:t>6.3</w:t>
      </w:r>
      <w:r>
        <w:rPr>
          <w:color w:val="000000"/>
          <w:szCs w:val="24"/>
          <w:lang w:eastAsia="lt-LT"/>
        </w:rPr>
        <w:t>.</w:t>
        <w:tab/>
        <w:t>nagrinėja komiteto nuostatuose nustatyta tvarka pateiktus darbuotojų prašymus dėl saugių ir sveikatai nekenksmingų darbo sąlygų sudarymo ir pranešimus apie situacijas darbo vietose, darbo patalpose ar kitose įmonės vietose, kurios, jų įsitikinimu, gali kelti pavojų darbuotojų saugai ir sveikatai, ir teikia darbdaviui atstovaujančiam asmeniui pasiūlymus dėl darbuotojų saugos ir sveikatos užtikrinimo priemonių;</w:t>
      </w:r>
    </w:p>
    <w:p>
      <w:pPr>
        <w:widowControl w:val="0"/>
        <w:tabs>
          <w:tab w:val="left" w:pos="1134"/>
        </w:tabs>
        <w:ind w:firstLine="567"/>
        <w:jc w:val="both"/>
        <w:rPr>
          <w:color w:val="000000"/>
          <w:szCs w:val="24"/>
          <w:lang w:eastAsia="lt-LT"/>
        </w:rPr>
      </w:pPr>
      <w:r>
        <w:rPr>
          <w:color w:val="000000"/>
          <w:szCs w:val="24"/>
          <w:lang w:eastAsia="lt-LT"/>
        </w:rPr>
        <w:t>6.4</w:t>
      </w:r>
      <w:r>
        <w:rPr>
          <w:color w:val="000000"/>
          <w:szCs w:val="24"/>
          <w:lang w:eastAsia="lt-LT"/>
        </w:rPr>
        <w:t>.</w:t>
        <w:tab/>
        <w:t>gavęs komiteto nuostatuose nustatyta tvarka pateiktą darbuotojo ar darbdaviui atstovaujančio asmens prašymą, nagrinėja kilusius nesutarimus tarp darbuotojo ir darbdaviui atstovaujančio asmens ar darbdavio įgalioto asmens dėl darbuotojo atsisakymo dirbti dėl galimo pavojaus savo sveikatai ir teikia nuomonę;</w:t>
      </w:r>
    </w:p>
    <w:p>
      <w:pPr>
        <w:widowControl w:val="0"/>
        <w:tabs>
          <w:tab w:val="left" w:pos="1134"/>
        </w:tabs>
        <w:ind w:firstLine="567"/>
        <w:jc w:val="both"/>
        <w:rPr>
          <w:color w:val="000000"/>
          <w:szCs w:val="24"/>
          <w:lang w:eastAsia="lt-LT"/>
        </w:rPr>
      </w:pPr>
      <w:r>
        <w:rPr>
          <w:color w:val="000000"/>
          <w:szCs w:val="24"/>
          <w:lang w:eastAsia="lt-LT"/>
        </w:rPr>
        <w:t>6.5</w:t>
      </w:r>
      <w:r>
        <w:rPr>
          <w:color w:val="000000"/>
          <w:szCs w:val="24"/>
          <w:lang w:eastAsia="lt-LT"/>
        </w:rPr>
        <w:t>.</w:t>
        <w:tab/>
        <w:t>teikia darbdaviui atstovaujančiam asmeniui pasiūlymus dėl komiteto nuostatų tobulinimo;</w:t>
      </w:r>
    </w:p>
    <w:p>
      <w:pPr>
        <w:widowControl w:val="0"/>
        <w:tabs>
          <w:tab w:val="left" w:pos="1134"/>
        </w:tabs>
        <w:ind w:firstLine="567"/>
        <w:jc w:val="both"/>
        <w:rPr>
          <w:color w:val="000000"/>
          <w:szCs w:val="24"/>
          <w:lang w:eastAsia="lt-LT"/>
        </w:rPr>
      </w:pPr>
      <w:r>
        <w:rPr>
          <w:color w:val="000000"/>
          <w:szCs w:val="24"/>
          <w:lang w:eastAsia="lt-LT"/>
        </w:rPr>
        <w:t>6.6</w:t>
      </w:r>
      <w:r>
        <w:rPr>
          <w:color w:val="000000"/>
          <w:szCs w:val="24"/>
          <w:lang w:eastAsia="lt-LT"/>
        </w:rPr>
        <w:t>.</w:t>
        <w:tab/>
        <w:t>rengia ir teikia darbdaviui atstovaujančiam asmeniui ir darbuotojų atstovams pasiūlymus dėl darbuotojų saugos ir sveikatos gerinimo darbo vietose arba įmonėje ar laive, kai deramasi dėl kolektyvinės sutarties sudarymo ar pakeitimo;</w:t>
      </w:r>
    </w:p>
    <w:p>
      <w:pPr>
        <w:widowControl w:val="0"/>
        <w:tabs>
          <w:tab w:val="left" w:pos="1134"/>
        </w:tabs>
        <w:ind w:firstLine="567"/>
        <w:jc w:val="both"/>
        <w:rPr>
          <w:color w:val="000000"/>
          <w:szCs w:val="24"/>
          <w:lang w:eastAsia="lt-LT"/>
        </w:rPr>
      </w:pPr>
      <w:r>
        <w:rPr>
          <w:color w:val="000000"/>
          <w:szCs w:val="24"/>
          <w:lang w:eastAsia="lt-LT"/>
        </w:rPr>
        <w:t>6.7</w:t>
      </w:r>
      <w:r>
        <w:rPr>
          <w:color w:val="000000"/>
          <w:szCs w:val="24"/>
          <w:lang w:eastAsia="lt-LT"/>
        </w:rPr>
        <w:t>.</w:t>
        <w:tab/>
        <w:t>išklauso darbdaviui atstovaujančio asmens informaciją apie jam komiteto pateiktų pasiūlymų ir reikalavimų įgyvendinimą;</w:t>
      </w:r>
    </w:p>
    <w:p>
      <w:pPr>
        <w:widowControl w:val="0"/>
        <w:tabs>
          <w:tab w:val="left" w:pos="1134"/>
        </w:tabs>
        <w:ind w:firstLine="567"/>
        <w:jc w:val="both"/>
        <w:rPr>
          <w:color w:val="000000"/>
          <w:szCs w:val="24"/>
          <w:lang w:eastAsia="lt-LT"/>
        </w:rPr>
      </w:pPr>
      <w:r>
        <w:rPr>
          <w:color w:val="000000"/>
          <w:szCs w:val="24"/>
          <w:lang w:eastAsia="lt-LT"/>
        </w:rPr>
        <w:t>6.8</w:t>
      </w:r>
      <w:r>
        <w:rPr>
          <w:color w:val="000000"/>
          <w:szCs w:val="24"/>
          <w:lang w:eastAsia="lt-LT"/>
        </w:rPr>
        <w:t>.</w:t>
        <w:tab/>
        <w:t>nagrinėja kitus su darbuotojų sauga ir sveikata susijusius klausimus.</w:t>
      </w:r>
    </w:p>
    <w:p>
      <w:pPr>
        <w:widowControl w:val="0"/>
        <w:ind w:firstLine="567"/>
        <w:rPr>
          <w:color w:val="000000"/>
          <w:szCs w:val="24"/>
          <w:lang w:eastAsia="lt-LT"/>
        </w:rPr>
      </w:pPr>
    </w:p>
    <w:p>
      <w:pPr>
        <w:widowControl w:val="0"/>
        <w:jc w:val="center"/>
        <w:rPr>
          <w:b/>
          <w:bCs/>
          <w:caps/>
          <w:color w:val="000000"/>
          <w:szCs w:val="24"/>
          <w:lang w:eastAsia="lt-LT"/>
        </w:rPr>
      </w:pPr>
      <w:r>
        <w:rPr>
          <w:b/>
          <w:bCs/>
          <w:caps/>
          <w:color w:val="000000"/>
          <w:szCs w:val="24"/>
          <w:lang w:eastAsia="lt-LT"/>
        </w:rPr>
        <w:t>III</w:t>
      </w:r>
      <w:r>
        <w:rPr>
          <w:b/>
          <w:bCs/>
          <w:caps/>
          <w:color w:val="000000"/>
          <w:szCs w:val="24"/>
          <w:lang w:eastAsia="lt-LT"/>
        </w:rPr>
        <w:t xml:space="preserve"> SKYRIUS </w:t>
      </w:r>
    </w:p>
    <w:p>
      <w:pPr>
        <w:widowControl w:val="0"/>
        <w:jc w:val="center"/>
        <w:rPr>
          <w:b/>
          <w:bCs/>
          <w:caps/>
          <w:color w:val="000000"/>
          <w:szCs w:val="24"/>
          <w:lang w:eastAsia="lt-LT"/>
        </w:rPr>
      </w:pPr>
      <w:r>
        <w:rPr>
          <w:b/>
          <w:bCs/>
          <w:caps/>
          <w:color w:val="000000"/>
          <w:szCs w:val="24"/>
          <w:lang w:eastAsia="lt-LT"/>
        </w:rPr>
        <w:t>KOMITETO POSĖDŽIŲ organizavimas</w:t>
      </w:r>
    </w:p>
    <w:p>
      <w:pPr>
        <w:widowControl w:val="0"/>
        <w:ind w:firstLine="567"/>
        <w:rPr>
          <w:color w:val="000000"/>
          <w:szCs w:val="24"/>
          <w:lang w:eastAsia="lt-LT"/>
        </w:rPr>
      </w:pPr>
    </w:p>
    <w:p>
      <w:pPr>
        <w:widowControl w:val="0"/>
        <w:ind w:firstLine="567"/>
        <w:jc w:val="both"/>
        <w:rPr>
          <w:color w:val="000000"/>
          <w:szCs w:val="24"/>
          <w:lang w:eastAsia="lt-LT"/>
        </w:rPr>
      </w:pPr>
      <w:r>
        <w:rPr>
          <w:color w:val="000000"/>
          <w:szCs w:val="24"/>
          <w:lang w:eastAsia="lt-LT"/>
        </w:rPr>
        <w:t>7</w:t>
      </w:r>
      <w:r>
        <w:rPr>
          <w:color w:val="000000"/>
          <w:szCs w:val="24"/>
          <w:lang w:eastAsia="lt-LT"/>
        </w:rPr>
        <w:t>.</w:t>
        <w:tab/>
        <w:t xml:space="preserve">Komiteto veiklos forma – posėdžiai. </w:t>
      </w:r>
    </w:p>
    <w:p>
      <w:pPr>
        <w:widowControl w:val="0"/>
        <w:ind w:firstLine="567"/>
        <w:jc w:val="both"/>
        <w:rPr>
          <w:color w:val="000000"/>
          <w:szCs w:val="24"/>
          <w:lang w:eastAsia="lt-LT"/>
        </w:rPr>
      </w:pPr>
      <w:r>
        <w:rPr>
          <w:color w:val="000000"/>
          <w:szCs w:val="24"/>
          <w:lang w:eastAsia="lt-LT"/>
        </w:rPr>
        <w:t>8</w:t>
      </w:r>
      <w:r>
        <w:rPr>
          <w:color w:val="000000"/>
          <w:szCs w:val="24"/>
          <w:lang w:eastAsia="lt-LT"/>
        </w:rPr>
        <w:t>.</w:t>
        <w:tab/>
        <w:t>Komiteto pirmininkas ne vėliau kaip per 14 kalendorinių dienų nuo komiteto narių darbuotojų atstovų saugai ir sveikatai išrinkimo dienos sušaukia pirmą komiteto posėdį, kuriame numatoma spręsti komiteto veiklos organizacinius klausimus (komiteto nuostatų pristatymas, komiteto funkcijos, darbo laikas, skiriamas šioms funkcijoms atlikti, suteikiamos priemonės, komiteto narių mokymai, įskaitant kompetencijos kėlimą, būsimos komiteto veiklos aptarimas, komiteto veiklos plano sudarymas ir tvirtinimas ir kt.).</w:t>
      </w:r>
    </w:p>
    <w:p>
      <w:pPr>
        <w:widowControl w:val="0"/>
        <w:ind w:firstLine="567"/>
        <w:jc w:val="both"/>
        <w:rPr>
          <w:color w:val="000000"/>
          <w:szCs w:val="24"/>
          <w:lang w:eastAsia="lt-LT"/>
        </w:rPr>
      </w:pPr>
      <w:r>
        <w:rPr>
          <w:color w:val="000000"/>
          <w:szCs w:val="24"/>
          <w:lang w:eastAsia="lt-LT"/>
        </w:rPr>
        <w:t>9</w:t>
      </w:r>
      <w:r>
        <w:rPr>
          <w:color w:val="000000"/>
          <w:szCs w:val="24"/>
          <w:lang w:eastAsia="lt-LT"/>
        </w:rPr>
        <w:t>.</w:t>
        <w:tab/>
        <w:t>Komiteto nariai darbuotojų atstovai saugai ir sveikatai komiteto posėdyje išsirenka komiteto sekretorių.</w:t>
      </w:r>
    </w:p>
    <w:p>
      <w:pPr>
        <w:widowControl w:val="0"/>
        <w:ind w:firstLine="567"/>
        <w:jc w:val="both"/>
        <w:rPr>
          <w:color w:val="000000"/>
          <w:szCs w:val="24"/>
          <w:lang w:eastAsia="lt-LT"/>
        </w:rPr>
      </w:pPr>
      <w:r>
        <w:rPr>
          <w:color w:val="000000"/>
          <w:szCs w:val="24"/>
          <w:lang w:eastAsia="lt-LT"/>
        </w:rPr>
        <w:t>10</w:t>
      </w:r>
      <w:r>
        <w:rPr>
          <w:color w:val="000000"/>
          <w:szCs w:val="24"/>
          <w:lang w:eastAsia="lt-LT"/>
        </w:rPr>
        <w:t>.</w:t>
        <w:tab/>
        <w:t>Komitetas savo veikloje vadovaujasi patvirtintu komiteto veiklos planu (metiniu ar kito komiteto nuostatuose nustatyto laikotarpio) ir posėdžius organizuoja plane numatytu periodiškumu, bet ne rečiau kaip 2 kartus per kalendorinius metus.</w:t>
      </w:r>
    </w:p>
    <w:p>
      <w:pPr>
        <w:widowControl w:val="0"/>
        <w:ind w:firstLine="567"/>
        <w:jc w:val="both"/>
        <w:rPr>
          <w:color w:val="000000"/>
          <w:szCs w:val="24"/>
          <w:lang w:eastAsia="lt-LT"/>
        </w:rPr>
      </w:pPr>
      <w:r>
        <w:rPr>
          <w:color w:val="000000"/>
          <w:szCs w:val="24"/>
          <w:lang w:eastAsia="lt-LT"/>
        </w:rPr>
        <w:t>11</w:t>
      </w:r>
      <w:r>
        <w:rPr>
          <w:color w:val="000000"/>
          <w:szCs w:val="24"/>
          <w:lang w:eastAsia="lt-LT"/>
        </w:rPr>
        <w:t>.</w:t>
        <w:tab/>
        <w:t>Neplaniniai komiteto posėdžiai organizuojami komiteto nuostatų nustatyta tvarka įmonėje ar laive įvykus mirtinam, sunkiam, grupiniam nelaimingam atsitikimui darbe, pasireiškus ūmiai profesinei ligai, įvykus avarijai ar gaisrui jų priežastims apsvarstyti, taip pat, esant neatidėliotinų įmonės ar laivo darbuotojų saugos ir sveikatos klausimų, pasiūlius komiteto pirmininkui arba kitam komiteto nariui, šiems klausimams apsvarstyti.</w:t>
      </w:r>
    </w:p>
    <w:p>
      <w:pPr>
        <w:widowControl w:val="0"/>
        <w:ind w:firstLine="567"/>
        <w:jc w:val="both"/>
        <w:rPr>
          <w:color w:val="000000"/>
          <w:szCs w:val="24"/>
          <w:lang w:eastAsia="lt-LT"/>
        </w:rPr>
      </w:pPr>
      <w:r>
        <w:rPr>
          <w:color w:val="000000"/>
          <w:szCs w:val="24"/>
          <w:lang w:eastAsia="lt-LT"/>
        </w:rPr>
        <w:t>12</w:t>
      </w:r>
      <w:r>
        <w:rPr>
          <w:color w:val="000000"/>
          <w:szCs w:val="24"/>
          <w:lang w:eastAsia="lt-LT"/>
        </w:rPr>
        <w:t>.</w:t>
        <w:tab/>
        <w:t>Komiteto pirmininko prašymu darbdaviui atstovaujantis asmuo, darbdavio įgalioti asmenys, Darbuotojų saugos ir sveikatos įstatymo 12 straipsnio 1 dalyje nurodyti darbdavio paskirti asmenys pateikia komitetui reikiamą informaciją ir medžiagą nagrinėjamais klausimais, pristato aktualius klausimus komiteto posėdyje.</w:t>
      </w:r>
    </w:p>
    <w:p>
      <w:pPr>
        <w:widowControl w:val="0"/>
        <w:ind w:firstLine="567"/>
        <w:jc w:val="both"/>
        <w:rPr>
          <w:color w:val="000000"/>
          <w:szCs w:val="24"/>
          <w:lang w:eastAsia="lt-LT"/>
        </w:rPr>
      </w:pPr>
      <w:r>
        <w:rPr>
          <w:color w:val="000000"/>
          <w:szCs w:val="24"/>
          <w:lang w:eastAsia="lt-LT"/>
        </w:rPr>
        <w:t>13</w:t>
      </w:r>
      <w:r>
        <w:rPr>
          <w:color w:val="000000"/>
          <w:szCs w:val="24"/>
          <w:lang w:eastAsia="lt-LT"/>
        </w:rPr>
        <w:t>.</w:t>
        <w:tab/>
        <w:t>Komiteto posėdyje, atsižvelgiant į posėdyje svarstomus klausimus, dalyvauja įmonės ar laivo darbuotojas (darbuotojai) darbuotojų saugos ir sveikatos specialistas (specialistai) ir (ar) profesinės sveikatos specialistas (specialistai), ir (arba) juridinio asmens darbuotojų saugos ir sveikatos specialistas (specialistai) ir (ar) profesinės sveikatos specialistas (specialistai) ar fizinis (fiziniai) asmuo (asmenys), įmonėje ar laive atliekantis (atliekantys) darbuotojų saugos ir sveikatos tarnybos funkcijas ar jų dalį. Su juo (jais) konsultuojamasi svarstant klausimus.</w:t>
      </w:r>
    </w:p>
    <w:p>
      <w:pPr>
        <w:widowControl w:val="0"/>
        <w:ind w:firstLine="567"/>
        <w:jc w:val="both"/>
        <w:rPr>
          <w:color w:val="000000"/>
          <w:szCs w:val="24"/>
          <w:lang w:eastAsia="lt-LT"/>
        </w:rPr>
      </w:pPr>
      <w:r>
        <w:rPr>
          <w:color w:val="000000"/>
          <w:szCs w:val="24"/>
          <w:lang w:eastAsia="lt-LT"/>
        </w:rPr>
        <w:t>14</w:t>
      </w:r>
      <w:r>
        <w:rPr>
          <w:color w:val="000000"/>
          <w:szCs w:val="24"/>
          <w:lang w:eastAsia="lt-LT"/>
        </w:rPr>
        <w:t>.</w:t>
        <w:tab/>
        <w:t>Dalyvauti komiteto posėdyje gali būti kviečiami darbdavio atstovai, darbuotojai ar darbuotojų atstovai.</w:t>
      </w:r>
    </w:p>
    <w:p>
      <w:pPr>
        <w:widowControl w:val="0"/>
        <w:ind w:firstLine="567"/>
        <w:jc w:val="both"/>
        <w:rPr>
          <w:color w:val="000000"/>
          <w:szCs w:val="24"/>
          <w:lang w:eastAsia="lt-LT"/>
        </w:rPr>
      </w:pPr>
      <w:r>
        <w:rPr>
          <w:color w:val="000000"/>
          <w:szCs w:val="24"/>
          <w:lang w:eastAsia="lt-LT"/>
        </w:rPr>
        <w:t>15</w:t>
      </w:r>
      <w:r>
        <w:rPr>
          <w:color w:val="000000"/>
          <w:szCs w:val="24"/>
          <w:lang w:eastAsia="lt-LT"/>
        </w:rPr>
        <w:t>.</w:t>
        <w:tab/>
        <w:t>Komiteto posėdis yra teisėtas, jeigu jame dalyvauja ne mažiau kaip 2/3 komiteto narių.</w:t>
      </w:r>
    </w:p>
    <w:p>
      <w:pPr>
        <w:widowControl w:val="0"/>
        <w:ind w:firstLine="567"/>
        <w:jc w:val="center"/>
        <w:rPr>
          <w:b/>
          <w:bCs/>
          <w:caps/>
          <w:color w:val="000000"/>
          <w:szCs w:val="24"/>
          <w:lang w:eastAsia="lt-LT"/>
        </w:rPr>
      </w:pPr>
    </w:p>
    <w:p>
      <w:pPr>
        <w:widowControl w:val="0"/>
        <w:jc w:val="center"/>
        <w:rPr>
          <w:b/>
          <w:bCs/>
          <w:caps/>
          <w:color w:val="000000"/>
          <w:szCs w:val="24"/>
          <w:lang w:eastAsia="lt-LT"/>
        </w:rPr>
      </w:pPr>
      <w:r>
        <w:rPr>
          <w:b/>
          <w:bCs/>
          <w:caps/>
          <w:color w:val="000000"/>
          <w:szCs w:val="24"/>
          <w:lang w:eastAsia="lt-LT"/>
        </w:rPr>
        <w:t>IV</w:t>
      </w:r>
      <w:r>
        <w:rPr>
          <w:b/>
          <w:bCs/>
          <w:caps/>
          <w:color w:val="000000"/>
          <w:szCs w:val="24"/>
          <w:lang w:eastAsia="lt-LT"/>
        </w:rPr>
        <w:t xml:space="preserve"> SKYRIUS </w:t>
      </w:r>
    </w:p>
    <w:p>
      <w:pPr>
        <w:widowControl w:val="0"/>
        <w:jc w:val="center"/>
        <w:rPr>
          <w:b/>
          <w:bCs/>
          <w:caps/>
          <w:color w:val="000000"/>
          <w:szCs w:val="24"/>
          <w:lang w:eastAsia="lt-LT"/>
        </w:rPr>
      </w:pPr>
      <w:r>
        <w:rPr>
          <w:b/>
          <w:bCs/>
          <w:caps/>
          <w:color w:val="000000"/>
          <w:szCs w:val="24"/>
          <w:lang w:eastAsia="lt-LT"/>
        </w:rPr>
        <w:t>KOMITETO NUTARIMAI</w:t>
      </w:r>
    </w:p>
    <w:p>
      <w:pPr>
        <w:widowControl w:val="0"/>
        <w:ind w:firstLine="567"/>
        <w:rPr>
          <w:color w:val="000000"/>
          <w:szCs w:val="24"/>
          <w:lang w:eastAsia="lt-LT"/>
        </w:rPr>
      </w:pPr>
    </w:p>
    <w:p>
      <w:pPr>
        <w:widowControl w:val="0"/>
        <w:tabs>
          <w:tab w:val="left" w:pos="993"/>
        </w:tabs>
        <w:ind w:firstLine="567"/>
        <w:jc w:val="both"/>
        <w:rPr>
          <w:color w:val="000000"/>
          <w:szCs w:val="24"/>
          <w:lang w:eastAsia="lt-LT"/>
        </w:rPr>
      </w:pPr>
      <w:r>
        <w:rPr>
          <w:color w:val="000000"/>
          <w:szCs w:val="24"/>
          <w:lang w:eastAsia="lt-LT"/>
        </w:rPr>
        <w:t>16</w:t>
      </w:r>
      <w:r>
        <w:rPr>
          <w:color w:val="000000"/>
          <w:szCs w:val="24"/>
          <w:lang w:eastAsia="lt-LT"/>
        </w:rPr>
        <w:t>.</w:t>
        <w:tab/>
        <w:t>Komitetas svarstomais klausimais priima nutarimus dėl pasiūlymų, nuomonių ar reikalavimų ir juos protokoluoja. Komiteto nutarimai priimami, kai jiems pritaria ne mažiau kaip 2/3 komiteto narių. Komitetui svarstomu klausimu nepriėmus nutarimo, klausimo svarstymas atidedamas kitam posėdžiui.</w:t>
      </w:r>
    </w:p>
    <w:p>
      <w:pPr>
        <w:widowControl w:val="0"/>
        <w:tabs>
          <w:tab w:val="left" w:pos="993"/>
        </w:tabs>
        <w:ind w:firstLine="567"/>
        <w:jc w:val="both"/>
        <w:rPr>
          <w:color w:val="000000"/>
          <w:szCs w:val="24"/>
          <w:lang w:eastAsia="lt-LT"/>
        </w:rPr>
      </w:pPr>
      <w:r>
        <w:rPr>
          <w:color w:val="000000"/>
          <w:szCs w:val="24"/>
          <w:lang w:eastAsia="lt-LT"/>
        </w:rPr>
        <w:t>17</w:t>
      </w:r>
      <w:r>
        <w:rPr>
          <w:color w:val="000000"/>
          <w:szCs w:val="24"/>
          <w:lang w:eastAsia="lt-LT"/>
        </w:rPr>
        <w:t>.</w:t>
        <w:tab/>
        <w:t>Komiteto pirmininkas įmonėje ar laive sutartu būdu supažindina darbdaviui atstovaujantį asmenį (jei jis nėra komiteto pirmininkas) su komiteto nutarimais. Komiteto pateikti pasiūlymai ir nuomonės yra rekomendacinio pobūdžio, o reikalavimai darbdavio įgaliotam asmeniui ar darbdaviui atstovaujančiam asmeniui dėl darbų sustabdymo Darbuotojų saugos ir sveikatos įstatymo 22 straipsnio 9 dalyje nustatytais atvejais – privalomi.</w:t>
      </w:r>
    </w:p>
    <w:p>
      <w:pPr>
        <w:widowControl w:val="0"/>
        <w:tabs>
          <w:tab w:val="left" w:pos="993"/>
        </w:tabs>
        <w:ind w:firstLine="567"/>
        <w:jc w:val="both"/>
        <w:rPr>
          <w:color w:val="000000"/>
          <w:szCs w:val="24"/>
          <w:lang w:eastAsia="lt-LT"/>
        </w:rPr>
      </w:pPr>
      <w:r>
        <w:rPr>
          <w:color w:val="000000"/>
          <w:szCs w:val="24"/>
          <w:lang w:eastAsia="lt-LT"/>
        </w:rPr>
        <w:t>18</w:t>
      </w:r>
      <w:r>
        <w:rPr>
          <w:color w:val="000000"/>
          <w:szCs w:val="24"/>
          <w:lang w:eastAsia="lt-LT"/>
        </w:rPr>
        <w:t>.</w:t>
        <w:tab/>
        <w:t>Komitetas nedelsdamas komiteto pasirinktu būdu (telefonu ar elektroniniu paštu) praneša Lietuvos Respublikos valstybinei darbo inspekcijai prie Socialinės apsaugos ir darbo ministerijos, jei padalinio vadovas ar kitas darbdavio įgaliotas asmuo, ar darbdaviui atstovaujantis asmuo atsisako vykdyti komiteto nutarime numatytą reikalavimą sustabdyti darbus ir apsaugoti darbuotoją (darbuotojus) nuo galimo pavojaus saugai ir sveikatai (nurodomas įmonės pavadinimas, jos padalinys, padalinio adresas, komiteto reikalavimas, atsakingo darbdavio įgalioto asmens ar darbdaviui atstovaujančio asmens pareigos, vardas, pavardė, ryšio numeris, komiteto pirmininko vardas, pavardė, ryšio numeris).</w:t>
      </w:r>
    </w:p>
    <w:p>
      <w:pPr>
        <w:widowControl w:val="0"/>
        <w:jc w:val="center"/>
        <w:rPr>
          <w:b/>
          <w:bCs/>
          <w:caps/>
          <w:color w:val="000000"/>
          <w:szCs w:val="24"/>
          <w:lang w:eastAsia="lt-LT"/>
        </w:rPr>
      </w:pPr>
    </w:p>
    <w:p>
      <w:pPr>
        <w:widowControl w:val="0"/>
        <w:jc w:val="center"/>
        <w:rPr>
          <w:b/>
          <w:bCs/>
          <w:caps/>
          <w:color w:val="000000"/>
          <w:szCs w:val="24"/>
          <w:lang w:eastAsia="lt-LT"/>
        </w:rPr>
      </w:pPr>
      <w:r>
        <w:rPr>
          <w:b/>
          <w:bCs/>
          <w:caps/>
          <w:color w:val="000000"/>
          <w:szCs w:val="24"/>
          <w:lang w:eastAsia="lt-LT"/>
        </w:rPr>
        <w:t>V</w:t>
      </w:r>
      <w:r>
        <w:rPr>
          <w:b/>
          <w:bCs/>
          <w:caps/>
          <w:color w:val="000000"/>
          <w:szCs w:val="24"/>
          <w:lang w:eastAsia="lt-LT"/>
        </w:rPr>
        <w:t xml:space="preserve"> SKYRIUS </w:t>
      </w:r>
    </w:p>
    <w:p>
      <w:pPr>
        <w:widowControl w:val="0"/>
        <w:jc w:val="center"/>
        <w:rPr>
          <w:b/>
          <w:bCs/>
          <w:caps/>
          <w:color w:val="000000"/>
          <w:szCs w:val="24"/>
          <w:lang w:eastAsia="lt-LT"/>
        </w:rPr>
      </w:pPr>
      <w:r>
        <w:rPr>
          <w:b/>
          <w:bCs/>
          <w:caps/>
          <w:color w:val="000000"/>
          <w:szCs w:val="24"/>
          <w:lang w:eastAsia="lt-LT"/>
        </w:rPr>
        <w:t>informacijos skelbimas</w:t>
      </w:r>
    </w:p>
    <w:p>
      <w:pPr>
        <w:widowControl w:val="0"/>
        <w:ind w:firstLine="567"/>
        <w:rPr>
          <w:color w:val="000000"/>
          <w:szCs w:val="24"/>
          <w:lang w:eastAsia="lt-LT"/>
        </w:rPr>
      </w:pPr>
    </w:p>
    <w:p>
      <w:pPr>
        <w:widowControl w:val="0"/>
        <w:tabs>
          <w:tab w:val="left" w:pos="851"/>
        </w:tabs>
        <w:ind w:firstLine="567"/>
        <w:jc w:val="both"/>
        <w:rPr>
          <w:color w:val="000000"/>
          <w:szCs w:val="24"/>
          <w:lang w:eastAsia="lt-LT"/>
        </w:rPr>
      </w:pPr>
      <w:r>
        <w:rPr>
          <w:color w:val="000000"/>
          <w:szCs w:val="24"/>
          <w:lang w:eastAsia="lt-LT"/>
        </w:rPr>
        <w:t>19</w:t>
      </w:r>
      <w:r>
        <w:rPr>
          <w:color w:val="000000"/>
          <w:szCs w:val="24"/>
          <w:lang w:eastAsia="lt-LT"/>
        </w:rPr>
        <w:t>.</w:t>
        <w:tab/>
        <w:t>Informacija (pareigos, vardas, pavardė, ryšio numeris, elektroninio pašto adresas) apie visus įmonės ar laivo komiteto narius (darbuotojų atstovus saugai ir sveikatai ir darbdavio atstovus) skelbiama vadovaujantis Darbuotojų saugos ir sveikatos įstatymo 13 straipsnio 4 dalimi.</w:t>
      </w:r>
    </w:p>
    <w:p>
      <w:pPr>
        <w:widowControl w:val="0"/>
        <w:tabs>
          <w:tab w:val="left" w:pos="851"/>
        </w:tabs>
        <w:ind w:firstLine="567"/>
        <w:jc w:val="both"/>
        <w:rPr>
          <w:color w:val="000000"/>
          <w:szCs w:val="24"/>
          <w:lang w:eastAsia="lt-LT"/>
        </w:rPr>
      </w:pPr>
      <w:r>
        <w:rPr>
          <w:color w:val="000000"/>
          <w:szCs w:val="24"/>
          <w:lang w:eastAsia="lt-LT"/>
        </w:rPr>
        <w:t>20</w:t>
      </w:r>
      <w:r>
        <w:rPr>
          <w:color w:val="000000"/>
          <w:szCs w:val="24"/>
          <w:lang w:eastAsia="lt-LT"/>
        </w:rPr>
        <w:t>.</w:t>
        <w:tab/>
        <w:t>Komiteto sekretorius įmonės, laivo informaciniuose stenduose ir (ar) kitu darbuotojams priimtinu būdu skelbia informaciją apie komiteto posėdžių datas, juose numatomus svarstyti klausimus ir priimtus nutarimus.</w:t>
      </w:r>
    </w:p>
    <w:p>
      <w:pPr>
        <w:widowControl w:val="0"/>
        <w:jc w:val="center"/>
        <w:rPr>
          <w:b/>
          <w:bCs/>
          <w:caps/>
          <w:color w:val="000000"/>
          <w:szCs w:val="24"/>
          <w:lang w:eastAsia="lt-LT"/>
        </w:rPr>
      </w:pPr>
    </w:p>
    <w:p>
      <w:pPr>
        <w:widowControl w:val="0"/>
        <w:jc w:val="center"/>
        <w:rPr>
          <w:b/>
          <w:bCs/>
          <w:caps/>
          <w:color w:val="000000"/>
          <w:szCs w:val="24"/>
          <w:lang w:eastAsia="lt-LT"/>
        </w:rPr>
      </w:pPr>
      <w:r>
        <w:rPr>
          <w:b/>
          <w:bCs/>
          <w:caps/>
          <w:color w:val="000000"/>
          <w:szCs w:val="24"/>
          <w:lang w:eastAsia="lt-LT"/>
        </w:rPr>
        <w:t>VI</w:t>
      </w:r>
      <w:r>
        <w:rPr>
          <w:b/>
          <w:bCs/>
          <w:caps/>
          <w:color w:val="000000"/>
          <w:szCs w:val="24"/>
          <w:lang w:eastAsia="lt-LT"/>
        </w:rPr>
        <w:t xml:space="preserve"> SKYRIUS </w:t>
      </w:r>
    </w:p>
    <w:p>
      <w:pPr>
        <w:widowControl w:val="0"/>
        <w:jc w:val="center"/>
        <w:rPr>
          <w:b/>
          <w:bCs/>
          <w:caps/>
          <w:color w:val="000000"/>
          <w:szCs w:val="24"/>
          <w:lang w:eastAsia="lt-LT"/>
        </w:rPr>
      </w:pPr>
      <w:r>
        <w:rPr>
          <w:b/>
          <w:bCs/>
          <w:caps/>
          <w:color w:val="000000"/>
          <w:szCs w:val="24"/>
          <w:lang w:eastAsia="lt-LT"/>
        </w:rPr>
        <w:t>BAIGIAMOSIOS NUOSTATOS</w:t>
      </w:r>
    </w:p>
    <w:p>
      <w:pPr>
        <w:widowControl w:val="0"/>
        <w:ind w:firstLine="567"/>
        <w:rPr>
          <w:color w:val="000000"/>
          <w:szCs w:val="24"/>
          <w:lang w:eastAsia="lt-LT"/>
        </w:rPr>
      </w:pPr>
    </w:p>
    <w:p>
      <w:pPr>
        <w:widowControl w:val="0"/>
        <w:tabs>
          <w:tab w:val="left" w:pos="993"/>
        </w:tabs>
        <w:ind w:firstLine="567"/>
        <w:jc w:val="both"/>
        <w:rPr>
          <w:color w:val="000000"/>
          <w:szCs w:val="24"/>
          <w:lang w:eastAsia="lt-LT"/>
        </w:rPr>
      </w:pPr>
      <w:r>
        <w:rPr>
          <w:color w:val="000000"/>
          <w:szCs w:val="24"/>
          <w:lang w:eastAsia="lt-LT"/>
        </w:rPr>
        <w:t>21</w:t>
      </w:r>
      <w:r>
        <w:rPr>
          <w:color w:val="000000"/>
          <w:szCs w:val="24"/>
          <w:lang w:eastAsia="lt-LT"/>
        </w:rPr>
        <w:t>.</w:t>
        <w:tab/>
        <w:t>Darbdaviui atstovaujantis asmuo komiteto darbui ir posėdžiams suteikia patalpas.</w:t>
      </w:r>
    </w:p>
    <w:p>
      <w:pPr>
        <w:pBdr>
          <w:top w:val="nil"/>
          <w:left w:val="nil"/>
          <w:bottom w:val="nil"/>
          <w:right w:val="nil"/>
          <w:between w:val="nil"/>
        </w:pBdr>
        <w:tabs>
          <w:tab w:val="left" w:pos="426"/>
          <w:tab w:val="left" w:pos="993"/>
        </w:tabs>
        <w:ind w:firstLine="567"/>
        <w:jc w:val="both"/>
        <w:rPr>
          <w:color w:val="000000"/>
          <w:szCs w:val="24"/>
          <w:lang w:eastAsia="lt-LT"/>
        </w:rPr>
      </w:pPr>
      <w:r>
        <w:rPr>
          <w:color w:val="000000"/>
          <w:szCs w:val="24"/>
          <w:lang w:eastAsia="lt-LT"/>
        </w:rPr>
        <w:t>22</w:t>
      </w:r>
      <w:r>
        <w:rPr>
          <w:color w:val="000000"/>
          <w:szCs w:val="24"/>
          <w:lang w:eastAsia="lt-LT"/>
        </w:rPr>
        <w:t>.</w:t>
        <w:tab/>
        <w:t>Asmens duomenys tvarkomi vadovaujantis 2016 m. balandžio 27 d. Europos Parlamento ir Tarybos reglamentu (ES) 2016/679 dėl fizinių asmenų apsaugos tvarkant asmens duomenis ir dėl laisvo tokių duomenų judėjimo ir kuriuo panaikinama Direktyva 95/46/EB (Bendruoju duomenų apsaugos reglamentu), Nuostatais ir kitais teisės aktais, reglamentuojančiais asmens duomenų apsaugą ir tvarkymą.</w:t>
      </w:r>
    </w:p>
    <w:p>
      <w:pPr>
        <w:pBdr>
          <w:top w:val="nil"/>
          <w:left w:val="nil"/>
          <w:bottom w:val="nil"/>
          <w:right w:val="nil"/>
          <w:between w:val="nil"/>
        </w:pBdr>
        <w:tabs>
          <w:tab w:val="left" w:pos="426"/>
          <w:tab w:val="left" w:pos="993"/>
        </w:tabs>
        <w:ind w:firstLine="567"/>
        <w:jc w:val="both"/>
        <w:rPr>
          <w:color w:val="000000"/>
          <w:szCs w:val="24"/>
          <w:lang w:eastAsia="lt-LT"/>
        </w:rPr>
      </w:pPr>
      <w:r>
        <w:rPr>
          <w:color w:val="000000"/>
          <w:szCs w:val="24"/>
          <w:lang w:eastAsia="lt-LT"/>
        </w:rPr>
        <w:t>23</w:t>
      </w:r>
      <w:r>
        <w:rPr>
          <w:color w:val="000000"/>
          <w:szCs w:val="24"/>
          <w:lang w:eastAsia="lt-LT"/>
        </w:rPr>
        <w:t>.</w:t>
        <w:tab/>
        <w:t>Dokumentai saugomi Lietuvos Respublikos dokumentų ir archyvų įstatymo nustatyta tvarka ir terminais.</w:t>
      </w:r>
    </w:p>
    <w:p>
      <w:pPr>
        <w:pBdr>
          <w:top w:val="nil"/>
          <w:left w:val="nil"/>
          <w:bottom w:val="nil"/>
          <w:right w:val="nil"/>
          <w:between w:val="nil"/>
        </w:pBdr>
        <w:tabs>
          <w:tab w:val="left" w:pos="426"/>
          <w:tab w:val="left" w:pos="993"/>
        </w:tabs>
        <w:ind w:firstLine="567"/>
        <w:jc w:val="both"/>
        <w:rPr>
          <w:color w:val="000000"/>
          <w:szCs w:val="24"/>
          <w:lang w:eastAsia="lt-LT"/>
        </w:rPr>
      </w:pPr>
      <w:r>
        <w:rPr>
          <w:color w:val="000000"/>
          <w:szCs w:val="24"/>
          <w:lang w:eastAsia="lt-LT"/>
        </w:rPr>
        <w:t>24</w:t>
      </w:r>
      <w:r>
        <w:rPr>
          <w:color w:val="000000"/>
          <w:szCs w:val="24"/>
          <w:lang w:eastAsia="lt-LT"/>
        </w:rPr>
        <w:t>.</w:t>
        <w:tab/>
        <w:t>Duomenų subjekto teisės įgyvendinamos duomenų valdytojo, į kurį kreipiamasi dėl duomenų subjekto teisių įgyvendinimo, nustatyta tvarka, vadovaujantis Reglamentu (ES) 2016/679.</w:t>
      </w:r>
    </w:p>
    <w:p>
      <w:pPr>
        <w:widowControl w:val="0"/>
        <w:jc w:val="center"/>
      </w:pPr>
      <w:r>
        <w:rPr>
          <w:rFonts w:ascii="TimesLT" w:hAnsi="TimesLT"/>
          <w:color w:val="000000"/>
          <w:sz w:val="20"/>
          <w:lang w:eastAsia="lt-LT"/>
        </w:rPr>
        <w:t>_________________</w:t>
      </w:r>
    </w:p>
    <w:p>
      <w:pPr>
        <w:widowControl w:val="0"/>
        <w:ind w:firstLine="5160"/>
        <w:sectPr>
          <w:pgSz w:w="11906" w:h="16838"/>
          <w:pgMar w:top="1134" w:right="567" w:bottom="1134" w:left="1701" w:header="720" w:footer="720" w:gutter="0"/>
          <w:cols w:space="720"/>
          <w:docGrid w:linePitch="360"/>
        </w:sectPr>
      </w:pPr>
    </w:p>
    <w:p>
      <w:pPr>
        <w:widowControl w:val="0"/>
        <w:ind w:firstLine="5160"/>
        <w:rPr>
          <w:color w:val="000000"/>
          <w:szCs w:val="24"/>
          <w:lang w:eastAsia="lt-LT"/>
        </w:rPr>
      </w:pPr>
      <w:r>
        <w:rPr>
          <w:color w:val="000000"/>
          <w:szCs w:val="24"/>
          <w:lang w:eastAsia="lt-LT"/>
        </w:rPr>
        <w:t xml:space="preserve">Darbuotojų saugos ir sveikatos komiteto </w:t>
      </w:r>
    </w:p>
    <w:p>
      <w:pPr>
        <w:widowControl w:val="0"/>
        <w:ind w:firstLine="5160"/>
        <w:rPr>
          <w:color w:val="000000"/>
          <w:szCs w:val="24"/>
          <w:lang w:eastAsia="lt-LT"/>
        </w:rPr>
      </w:pPr>
      <w:r>
        <w:rPr>
          <w:color w:val="000000"/>
          <w:szCs w:val="24"/>
          <w:lang w:eastAsia="lt-LT"/>
        </w:rPr>
        <w:t>bendrųjų nuostatų</w:t>
      </w:r>
    </w:p>
    <w:p>
      <w:pPr>
        <w:widowControl w:val="0"/>
        <w:ind w:firstLine="5160"/>
        <w:rPr>
          <w:color w:val="000000"/>
          <w:szCs w:val="24"/>
          <w:lang w:eastAsia="lt-LT"/>
        </w:rPr>
      </w:pPr>
      <w:r>
        <w:rPr>
          <w:color w:val="000000"/>
          <w:szCs w:val="24"/>
          <w:lang w:eastAsia="lt-LT"/>
        </w:rPr>
        <w:t>priedas</w:t>
      </w:r>
    </w:p>
    <w:p>
      <w:pPr>
        <w:widowControl w:val="0"/>
        <w:ind w:firstLine="5160"/>
        <w:rPr>
          <w:color w:val="000000"/>
          <w:szCs w:val="24"/>
          <w:lang w:eastAsia="lt-LT"/>
        </w:rPr>
      </w:pPr>
    </w:p>
    <w:p>
      <w:pPr>
        <w:widowControl w:val="0"/>
        <w:ind w:firstLine="567"/>
        <w:rPr>
          <w:rFonts w:ascii="TimesLT" w:hAnsi="TimesLT"/>
          <w:color w:val="000000"/>
          <w:sz w:val="20"/>
          <w:lang w:eastAsia="lt-LT"/>
        </w:rPr>
      </w:pPr>
    </w:p>
    <w:p>
      <w:pPr>
        <w:widowControl w:val="0"/>
        <w:jc w:val="center"/>
        <w:rPr>
          <w:rFonts w:ascii="TimesLT" w:hAnsi="TimesLT"/>
          <w:b/>
          <w:bCs/>
          <w:caps/>
          <w:color w:val="000000"/>
          <w:sz w:val="20"/>
          <w:lang w:eastAsia="lt-LT"/>
        </w:rPr>
      </w:pPr>
      <w:r>
        <w:rPr>
          <w:rFonts w:ascii="TimesLT" w:hAnsi="TimesLT"/>
          <w:b/>
          <w:bCs/>
          <w:caps/>
          <w:color w:val="000000"/>
          <w:sz w:val="20"/>
          <w:lang w:eastAsia="lt-LT"/>
        </w:rPr>
        <w:t>EKONOMINĖS VEIKLOS RŪŠIŲ, KURIŲ ĮMONĖSE REKOMENDUOJAMA STEIGTI DARBUOTOJŲ SAUGOS IR SVEIKATOS KOMITETĄ, JEIGU ĮMONĖs vidutinis darbuotojų skaičius yra mažesnis nei 50,</w:t>
      </w:r>
    </w:p>
    <w:p>
      <w:pPr>
        <w:widowControl w:val="0"/>
        <w:jc w:val="center"/>
        <w:rPr>
          <w:rFonts w:ascii="TimesLT" w:hAnsi="TimesLT"/>
          <w:b/>
          <w:bCs/>
          <w:caps/>
          <w:color w:val="000000"/>
          <w:sz w:val="20"/>
          <w:lang w:eastAsia="lt-LT"/>
        </w:rPr>
      </w:pPr>
      <w:r>
        <w:rPr>
          <w:rFonts w:ascii="TimesLT" w:hAnsi="TimesLT"/>
          <w:b/>
          <w:bCs/>
          <w:caps/>
          <w:color w:val="000000"/>
          <w:sz w:val="20"/>
          <w:lang w:eastAsia="lt-LT"/>
        </w:rPr>
        <w:t>SĄRAŠAS</w:t>
      </w:r>
    </w:p>
    <w:p>
      <w:pPr>
        <w:widowControl w:val="0"/>
        <w:ind w:firstLine="567"/>
        <w:rPr>
          <w:rFonts w:ascii="TimesLT" w:hAnsi="TimesLT"/>
          <w:color w:val="000000"/>
          <w:sz w:val="20"/>
          <w:lang w:eastAsia="lt-LT"/>
        </w:rPr>
      </w:pPr>
    </w:p>
    <w:tbl>
      <w:tblPr>
        <w:tblW w:w="9351" w:type="dxa"/>
        <w:tblLayout w:type="fixed"/>
        <w:tblCellMar>
          <w:left w:w="0" w:type="dxa"/>
          <w:right w:w="0" w:type="dxa"/>
        </w:tblCellMar>
        <w:tblLook w:val="0000" w:firstRow="0" w:lastRow="0" w:firstColumn="0" w:lastColumn="0" w:noHBand="0" w:noVBand="0"/>
      </w:tblPr>
      <w:tblGrid>
        <w:gridCol w:w="2405"/>
        <w:gridCol w:w="6946"/>
      </w:tblGrid>
      <w:tr>
        <w:trPr>
          <w:trHeight w:val="62"/>
          <w:tblHeader/>
        </w:trPr>
        <w:tc>
          <w:tcPr>
            <w:tcW w:w="2405"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tcPr>
          <w:p>
            <w:pPr>
              <w:widowControl w:val="0"/>
              <w:jc w:val="center"/>
              <w:rPr>
                <w:rFonts w:ascii="TimesLT" w:hAnsi="TimesLT"/>
                <w:color w:val="000000"/>
                <w:sz w:val="20"/>
                <w:lang w:eastAsia="lt-LT"/>
              </w:rPr>
            </w:pPr>
            <w:r>
              <w:rPr>
                <w:rFonts w:ascii="TimesLT" w:hAnsi="TimesLT"/>
                <w:b/>
                <w:bCs/>
                <w:color w:val="000000"/>
                <w:sz w:val="20"/>
                <w:lang w:eastAsia="lt-LT"/>
              </w:rPr>
              <w:t>Ekonominės veiklos sekcija (kodas ir pavadinimas)</w:t>
            </w:r>
          </w:p>
        </w:tc>
        <w:tc>
          <w:tcPr>
            <w:tcW w:w="6946"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tcPr>
          <w:p>
            <w:pPr>
              <w:widowControl w:val="0"/>
              <w:jc w:val="center"/>
              <w:rPr>
                <w:rFonts w:ascii="TimesLT" w:hAnsi="TimesLT"/>
                <w:color w:val="000000"/>
                <w:sz w:val="20"/>
                <w:lang w:eastAsia="lt-LT"/>
              </w:rPr>
            </w:pPr>
            <w:r>
              <w:rPr>
                <w:rFonts w:ascii="TimesLT" w:hAnsi="TimesLT"/>
                <w:b/>
                <w:bCs/>
                <w:color w:val="000000"/>
                <w:sz w:val="20"/>
                <w:lang w:eastAsia="lt-LT"/>
              </w:rPr>
              <w:t>Ekonominės veiklos kategorija (kodas, kategorija ir jos pavadinimas)</w:t>
            </w:r>
          </w:p>
        </w:tc>
      </w:tr>
      <w:tr>
        <w:trPr>
          <w:trHeight w:val="62"/>
        </w:trPr>
        <w:tc>
          <w:tcPr>
            <w:tcW w:w="2405"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rPr>
                <w:rFonts w:ascii="TimesLT" w:hAnsi="TimesLT"/>
                <w:color w:val="000000"/>
                <w:sz w:val="20"/>
                <w:lang w:eastAsia="lt-LT"/>
              </w:rPr>
            </w:pPr>
            <w:r>
              <w:rPr>
                <w:rFonts w:ascii="TimesLT" w:hAnsi="TimesLT"/>
                <w:color w:val="000000"/>
                <w:sz w:val="20"/>
                <w:lang w:eastAsia="lt-LT"/>
              </w:rPr>
              <w:t>B „Kasyba ir karjerų eksploatavimas“</w:t>
            </w:r>
          </w:p>
        </w:tc>
        <w:tc>
          <w:tcPr>
            <w:tcW w:w="6946"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rPr>
                <w:rFonts w:ascii="TimesLT" w:hAnsi="TimesLT"/>
                <w:color w:val="000000"/>
                <w:sz w:val="20"/>
                <w:lang w:eastAsia="lt-LT"/>
              </w:rPr>
            </w:pPr>
            <w:r>
              <w:rPr>
                <w:rFonts w:ascii="TimesLT" w:hAnsi="TimesLT"/>
                <w:color w:val="000000"/>
                <w:sz w:val="20"/>
                <w:lang w:eastAsia="lt-LT"/>
              </w:rPr>
              <w:t>Visi skyriai</w:t>
            </w:r>
          </w:p>
        </w:tc>
      </w:tr>
      <w:tr>
        <w:trPr>
          <w:trHeight w:val="62"/>
        </w:trPr>
        <w:tc>
          <w:tcPr>
            <w:tcW w:w="2405"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rPr>
                <w:rFonts w:ascii="TimesLT" w:hAnsi="TimesLT"/>
                <w:color w:val="000000"/>
                <w:sz w:val="20"/>
                <w:lang w:eastAsia="lt-LT"/>
              </w:rPr>
            </w:pPr>
            <w:r>
              <w:rPr>
                <w:rFonts w:ascii="TimesLT" w:hAnsi="TimesLT"/>
                <w:color w:val="000000"/>
                <w:sz w:val="20"/>
                <w:lang w:eastAsia="lt-LT"/>
              </w:rPr>
              <w:t>C „Apdirbamoji gamyba“</w:t>
            </w:r>
            <w:r>
              <w:rPr>
                <w:rFonts w:ascii="TimesLT" w:hAnsi="TimesLT"/>
                <w:b/>
                <w:bCs/>
                <w:color w:val="000000"/>
                <w:sz w:val="20"/>
                <w:lang w:eastAsia="lt-LT"/>
              </w:rPr>
              <w:t xml:space="preserve"> </w:t>
            </w:r>
          </w:p>
        </w:tc>
        <w:tc>
          <w:tcPr>
            <w:tcW w:w="6946"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rPr>
                <w:rFonts w:ascii="TimesLT" w:hAnsi="TimesLT"/>
                <w:color w:val="000000"/>
                <w:sz w:val="20"/>
                <w:lang w:eastAsia="lt-LT"/>
              </w:rPr>
            </w:pPr>
            <w:r>
              <w:rPr>
                <w:rFonts w:ascii="TimesLT" w:hAnsi="TimesLT"/>
                <w:color w:val="000000"/>
                <w:sz w:val="20"/>
                <w:lang w:eastAsia="lt-LT"/>
              </w:rPr>
              <w:t>15.11 klasė „Odų rauginimas ir išdirbimas; kailių išdirbimas ir dažymas“;</w:t>
            </w:r>
          </w:p>
          <w:p>
            <w:pPr>
              <w:widowControl w:val="0"/>
              <w:rPr>
                <w:rFonts w:ascii="TimesLT" w:hAnsi="TimesLT"/>
                <w:color w:val="000000"/>
                <w:sz w:val="20"/>
                <w:lang w:eastAsia="lt-LT"/>
              </w:rPr>
            </w:pPr>
            <w:r>
              <w:rPr>
                <w:rFonts w:ascii="TimesLT" w:hAnsi="TimesLT"/>
                <w:color w:val="000000"/>
                <w:sz w:val="20"/>
                <w:lang w:eastAsia="lt-LT"/>
              </w:rPr>
              <w:t>16 skyrius „Medienos bei medienos ir kamštienos gaminių, išskyrus baldus, gamyba; gaminių iš šiaudų ir pynimo medžiagų gamyba“;</w:t>
            </w:r>
          </w:p>
          <w:p>
            <w:pPr>
              <w:widowControl w:val="0"/>
              <w:rPr>
                <w:rFonts w:ascii="TimesLT" w:hAnsi="TimesLT"/>
                <w:color w:val="000000"/>
                <w:sz w:val="20"/>
                <w:lang w:eastAsia="lt-LT"/>
              </w:rPr>
            </w:pPr>
            <w:r>
              <w:rPr>
                <w:rFonts w:ascii="TimesLT" w:hAnsi="TimesLT"/>
                <w:color w:val="000000"/>
                <w:sz w:val="20"/>
                <w:lang w:eastAsia="lt-LT"/>
              </w:rPr>
              <w:t>17 skyrius „Popieriaus ir popieriaus gaminių gamyba“;</w:t>
            </w:r>
          </w:p>
          <w:p>
            <w:pPr>
              <w:widowControl w:val="0"/>
              <w:rPr>
                <w:rFonts w:ascii="TimesLT" w:hAnsi="TimesLT"/>
                <w:color w:val="000000"/>
                <w:sz w:val="20"/>
                <w:lang w:eastAsia="lt-LT"/>
              </w:rPr>
            </w:pPr>
            <w:r>
              <w:rPr>
                <w:rFonts w:ascii="TimesLT" w:hAnsi="TimesLT"/>
                <w:color w:val="000000"/>
                <w:sz w:val="20"/>
                <w:lang w:eastAsia="lt-LT"/>
              </w:rPr>
              <w:t>19 skyrius „Kokso ir rafinuotų naftos produktų gamyba“;</w:t>
            </w:r>
          </w:p>
          <w:p>
            <w:pPr>
              <w:widowControl w:val="0"/>
              <w:rPr>
                <w:rFonts w:ascii="TimesLT" w:hAnsi="TimesLT"/>
                <w:color w:val="000000"/>
                <w:sz w:val="20"/>
                <w:lang w:eastAsia="lt-LT"/>
              </w:rPr>
            </w:pPr>
            <w:r>
              <w:rPr>
                <w:rFonts w:ascii="TimesLT" w:hAnsi="TimesLT"/>
                <w:color w:val="000000"/>
                <w:sz w:val="20"/>
                <w:lang w:eastAsia="lt-LT"/>
              </w:rPr>
              <w:t>20 skyrius „Chemikalų ir chemijos produktų gamyba“;</w:t>
            </w:r>
          </w:p>
          <w:p>
            <w:pPr>
              <w:widowControl w:val="0"/>
              <w:rPr>
                <w:rFonts w:ascii="TimesLT" w:hAnsi="TimesLT"/>
                <w:color w:val="000000"/>
                <w:sz w:val="20"/>
                <w:lang w:eastAsia="lt-LT"/>
              </w:rPr>
            </w:pPr>
            <w:r>
              <w:rPr>
                <w:rFonts w:ascii="TimesLT" w:hAnsi="TimesLT"/>
                <w:color w:val="000000"/>
                <w:sz w:val="20"/>
                <w:lang w:eastAsia="lt-LT"/>
              </w:rPr>
              <w:t>22 skyrius „Guminių ir plastikinių gaminių gamyba“;</w:t>
            </w:r>
          </w:p>
          <w:p>
            <w:pPr>
              <w:widowControl w:val="0"/>
              <w:rPr>
                <w:rFonts w:ascii="TimesLT" w:hAnsi="TimesLT"/>
                <w:color w:val="000000"/>
                <w:sz w:val="20"/>
                <w:lang w:eastAsia="lt-LT"/>
              </w:rPr>
            </w:pPr>
            <w:r>
              <w:rPr>
                <w:rFonts w:ascii="TimesLT" w:hAnsi="TimesLT"/>
                <w:color w:val="000000"/>
                <w:sz w:val="20"/>
                <w:lang w:eastAsia="lt-LT"/>
              </w:rPr>
              <w:t>23 skyrius „Kitų nemetalo mineralinių produktų gamyba“;</w:t>
            </w:r>
          </w:p>
          <w:p>
            <w:pPr>
              <w:widowControl w:val="0"/>
              <w:rPr>
                <w:rFonts w:ascii="TimesLT" w:hAnsi="TimesLT"/>
                <w:color w:val="000000"/>
                <w:sz w:val="20"/>
                <w:lang w:eastAsia="lt-LT"/>
              </w:rPr>
            </w:pPr>
            <w:r>
              <w:rPr>
                <w:rFonts w:ascii="TimesLT" w:hAnsi="TimesLT"/>
                <w:color w:val="000000"/>
                <w:sz w:val="20"/>
                <w:lang w:eastAsia="lt-LT"/>
              </w:rPr>
              <w:t>27 skyrius „Elektros įrangos gamyba“;</w:t>
            </w:r>
          </w:p>
          <w:p>
            <w:pPr>
              <w:widowControl w:val="0"/>
              <w:rPr>
                <w:rFonts w:ascii="TimesLT" w:hAnsi="TimesLT"/>
                <w:color w:val="000000"/>
                <w:sz w:val="20"/>
                <w:lang w:eastAsia="lt-LT"/>
              </w:rPr>
            </w:pPr>
            <w:r>
              <w:rPr>
                <w:rFonts w:ascii="TimesLT" w:hAnsi="TimesLT"/>
                <w:color w:val="000000"/>
                <w:sz w:val="20"/>
                <w:lang w:eastAsia="lt-LT"/>
              </w:rPr>
              <w:t>31 skyrius „Baldų gamyba“</w:t>
            </w:r>
          </w:p>
        </w:tc>
      </w:tr>
      <w:tr>
        <w:trPr>
          <w:trHeight w:val="62"/>
        </w:trPr>
        <w:tc>
          <w:tcPr>
            <w:tcW w:w="2405"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rPr>
                <w:rFonts w:ascii="TimesLT" w:hAnsi="TimesLT"/>
                <w:color w:val="000000"/>
                <w:sz w:val="20"/>
                <w:lang w:eastAsia="lt-LT"/>
              </w:rPr>
            </w:pPr>
            <w:r>
              <w:rPr>
                <w:rFonts w:ascii="TimesLT" w:hAnsi="TimesLT"/>
                <w:color w:val="000000"/>
                <w:sz w:val="20"/>
                <w:lang w:eastAsia="lt-LT"/>
              </w:rPr>
              <w:t>D „Elektros, dujų, garo tiekimas ir oro kondicionavimas“</w:t>
            </w:r>
          </w:p>
        </w:tc>
        <w:tc>
          <w:tcPr>
            <w:tcW w:w="6946"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rPr>
                <w:rFonts w:ascii="TimesLT" w:hAnsi="TimesLT"/>
                <w:color w:val="000000"/>
                <w:sz w:val="20"/>
                <w:lang w:eastAsia="lt-LT"/>
              </w:rPr>
            </w:pPr>
            <w:r>
              <w:rPr>
                <w:rFonts w:ascii="TimesLT" w:hAnsi="TimesLT"/>
                <w:color w:val="000000"/>
                <w:sz w:val="20"/>
                <w:lang w:eastAsia="lt-LT"/>
              </w:rPr>
              <w:t>Visi skyriai</w:t>
            </w:r>
          </w:p>
        </w:tc>
      </w:tr>
      <w:tr>
        <w:trPr>
          <w:trHeight w:val="62"/>
        </w:trPr>
        <w:tc>
          <w:tcPr>
            <w:tcW w:w="2405"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rPr>
                <w:rFonts w:ascii="TimesLT" w:hAnsi="TimesLT"/>
                <w:color w:val="000000"/>
                <w:sz w:val="20"/>
                <w:lang w:eastAsia="lt-LT"/>
              </w:rPr>
            </w:pPr>
            <w:r>
              <w:rPr>
                <w:rFonts w:ascii="TimesLT" w:hAnsi="TimesLT"/>
                <w:color w:val="000000"/>
                <w:sz w:val="20"/>
                <w:lang w:eastAsia="lt-LT"/>
              </w:rPr>
              <w:t>E „Vandens tiekimas, nuotekų valymas, atliekų tvarkymas ir regeneravimas“</w:t>
            </w:r>
          </w:p>
        </w:tc>
        <w:tc>
          <w:tcPr>
            <w:tcW w:w="6946"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rPr>
                <w:rFonts w:ascii="TimesLT" w:hAnsi="TimesLT"/>
                <w:color w:val="000000"/>
                <w:sz w:val="20"/>
                <w:lang w:eastAsia="lt-LT"/>
              </w:rPr>
            </w:pPr>
            <w:r>
              <w:rPr>
                <w:rFonts w:ascii="TimesLT" w:hAnsi="TimesLT"/>
                <w:color w:val="000000"/>
                <w:sz w:val="20"/>
                <w:lang w:eastAsia="lt-LT"/>
              </w:rPr>
              <w:t>Visi skyriai</w:t>
            </w:r>
          </w:p>
        </w:tc>
      </w:tr>
      <w:tr>
        <w:trPr>
          <w:trHeight w:val="62"/>
        </w:trPr>
        <w:tc>
          <w:tcPr>
            <w:tcW w:w="2405"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rPr>
                <w:rFonts w:ascii="TimesLT" w:hAnsi="TimesLT"/>
                <w:color w:val="000000"/>
                <w:sz w:val="20"/>
                <w:lang w:eastAsia="lt-LT"/>
              </w:rPr>
            </w:pPr>
            <w:r>
              <w:rPr>
                <w:rFonts w:ascii="TimesLT" w:hAnsi="TimesLT"/>
                <w:color w:val="000000"/>
                <w:sz w:val="20"/>
                <w:lang w:eastAsia="lt-LT"/>
              </w:rPr>
              <w:t>F „Statyba“</w:t>
            </w:r>
          </w:p>
        </w:tc>
        <w:tc>
          <w:tcPr>
            <w:tcW w:w="6946"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rPr>
                <w:rFonts w:ascii="TimesLT" w:hAnsi="TimesLT"/>
                <w:color w:val="000000"/>
                <w:sz w:val="20"/>
                <w:lang w:eastAsia="lt-LT"/>
              </w:rPr>
            </w:pPr>
            <w:r>
              <w:rPr>
                <w:rFonts w:ascii="TimesLT" w:hAnsi="TimesLT"/>
                <w:color w:val="000000"/>
                <w:sz w:val="20"/>
                <w:lang w:eastAsia="lt-LT"/>
              </w:rPr>
              <w:t>Visi skyriai</w:t>
            </w:r>
          </w:p>
        </w:tc>
      </w:tr>
      <w:tr>
        <w:trPr>
          <w:trHeight w:val="62"/>
        </w:trPr>
        <w:tc>
          <w:tcPr>
            <w:tcW w:w="2405"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rPr>
                <w:rFonts w:ascii="TimesLT" w:hAnsi="TimesLT"/>
                <w:color w:val="000000"/>
                <w:sz w:val="20"/>
                <w:lang w:eastAsia="lt-LT"/>
              </w:rPr>
            </w:pPr>
            <w:r>
              <w:rPr>
                <w:rFonts w:ascii="TimesLT" w:hAnsi="TimesLT"/>
                <w:color w:val="000000"/>
                <w:sz w:val="20"/>
                <w:lang w:eastAsia="lt-LT"/>
              </w:rPr>
              <w:t>G „Didmeninė ir mažmeninė prekyba; Variklinių transporto priemonių ir motociklų remontas“</w:t>
            </w:r>
          </w:p>
        </w:tc>
        <w:tc>
          <w:tcPr>
            <w:tcW w:w="6946"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rPr>
                <w:rFonts w:ascii="TimesLT" w:hAnsi="TimesLT"/>
                <w:color w:val="000000"/>
                <w:sz w:val="20"/>
                <w:lang w:eastAsia="lt-LT"/>
              </w:rPr>
            </w:pPr>
            <w:r>
              <w:rPr>
                <w:rFonts w:ascii="TimesLT" w:hAnsi="TimesLT"/>
                <w:color w:val="000000"/>
                <w:sz w:val="20"/>
                <w:lang w:eastAsia="lt-LT"/>
              </w:rPr>
              <w:t>45.2 grupė „Variklinių transporto priemonių techninė priežiūra ir remontas“;</w:t>
            </w:r>
          </w:p>
          <w:p>
            <w:pPr>
              <w:widowControl w:val="0"/>
              <w:rPr>
                <w:rFonts w:ascii="TimesLT" w:hAnsi="TimesLT"/>
                <w:color w:val="000000"/>
                <w:sz w:val="20"/>
                <w:lang w:eastAsia="lt-LT"/>
              </w:rPr>
            </w:pPr>
            <w:r>
              <w:rPr>
                <w:rFonts w:ascii="TimesLT" w:hAnsi="TimesLT"/>
                <w:color w:val="000000"/>
                <w:sz w:val="20"/>
                <w:lang w:eastAsia="lt-LT"/>
              </w:rPr>
              <w:t>45.4 grupė „Motociklų ir jų atsarginių dalių bei pagalbinių reikmenų pardavimas, techninė priežiūra ir remontas“</w:t>
            </w:r>
          </w:p>
        </w:tc>
      </w:tr>
      <w:tr>
        <w:trPr>
          <w:trHeight w:val="62"/>
        </w:trPr>
        <w:tc>
          <w:tcPr>
            <w:tcW w:w="2405"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rPr>
                <w:rFonts w:ascii="TimesLT" w:hAnsi="TimesLT"/>
                <w:color w:val="000000"/>
                <w:sz w:val="20"/>
                <w:lang w:eastAsia="lt-LT"/>
              </w:rPr>
            </w:pPr>
            <w:r>
              <w:rPr>
                <w:rFonts w:ascii="TimesLT" w:hAnsi="TimesLT"/>
                <w:color w:val="000000"/>
                <w:sz w:val="20"/>
                <w:lang w:eastAsia="lt-LT"/>
              </w:rPr>
              <w:t>H „Transportas ir saugojimas“</w:t>
            </w:r>
          </w:p>
        </w:tc>
        <w:tc>
          <w:tcPr>
            <w:tcW w:w="6946"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rPr>
                <w:rFonts w:ascii="TimesLT" w:hAnsi="TimesLT"/>
                <w:color w:val="000000"/>
                <w:sz w:val="20"/>
                <w:lang w:eastAsia="lt-LT"/>
              </w:rPr>
            </w:pPr>
            <w:r>
              <w:rPr>
                <w:rFonts w:ascii="TimesLT" w:hAnsi="TimesLT"/>
                <w:color w:val="000000"/>
                <w:sz w:val="20"/>
                <w:lang w:eastAsia="lt-LT"/>
              </w:rPr>
              <w:t>49 grupė „Sausumos transportas ir transportavimas vamzdynais“, išskyrus 49.32 klasę „Taksi veikla“;</w:t>
            </w:r>
          </w:p>
          <w:p>
            <w:pPr>
              <w:widowControl w:val="0"/>
              <w:rPr>
                <w:rFonts w:ascii="TimesLT" w:hAnsi="TimesLT"/>
                <w:color w:val="000000"/>
                <w:sz w:val="20"/>
                <w:lang w:eastAsia="lt-LT"/>
              </w:rPr>
            </w:pPr>
            <w:r>
              <w:rPr>
                <w:rFonts w:ascii="TimesLT" w:hAnsi="TimesLT"/>
                <w:color w:val="000000"/>
                <w:sz w:val="20"/>
                <w:lang w:eastAsia="lt-LT"/>
              </w:rPr>
              <w:t>52.24 klasė „Krovinių tvarkymas“</w:t>
            </w:r>
          </w:p>
        </w:tc>
      </w:tr>
    </w:tbl>
    <w:p>
      <w:pPr>
        <w:widowControl w:val="0"/>
        <w:ind w:firstLine="567"/>
        <w:rPr>
          <w:rFonts w:ascii="TimesLT" w:hAnsi="TimesLT"/>
          <w:color w:val="000000"/>
          <w:sz w:val="20"/>
          <w:lang w:eastAsia="lt-LT"/>
        </w:rPr>
      </w:pPr>
    </w:p>
    <w:p>
      <w:pPr>
        <w:widowControl w:val="0"/>
        <w:ind w:firstLine="567"/>
        <w:rPr>
          <w:rFonts w:ascii="TimesLT" w:hAnsi="TimesLT"/>
          <w:color w:val="000000"/>
          <w:sz w:val="20"/>
          <w:lang w:eastAsia="lt-LT"/>
        </w:rPr>
      </w:pPr>
      <w:r>
        <w:rPr>
          <w:rFonts w:ascii="TimesLT" w:hAnsi="TimesLT"/>
          <w:color w:val="000000"/>
          <w:sz w:val="20"/>
          <w:lang w:eastAsia="lt-LT"/>
        </w:rPr>
        <w:t>Pastaba. Ekonominės veiklos kategorijų (sekcijų, skyrių, grupių, klasių) kodai ir pavadinimai pagal Ekonominės veiklos rūšių klasifikatorių (EVRK 2 red.), patvirtintą Statistikos departamento prie Lietuvos Respublikos Vyriausybės generalinio direktoriaus 2007 m. spalio 31 d. įsakymu Nr. DĮ-226 „Dėl Ekonominės veiklos rūšių klasifikatoriaus patvirtinimo“.</w:t>
      </w:r>
    </w:p>
    <w:p>
      <w:pPr>
        <w:widowControl w:val="0"/>
        <w:jc w:val="center"/>
        <w:rPr>
          <w:color w:val="000000"/>
          <w:szCs w:val="24"/>
          <w:lang w:eastAsia="lt-LT"/>
        </w:rPr>
      </w:pPr>
      <w:r>
        <w:rPr>
          <w:rFonts w:ascii="TimesLT" w:hAnsi="TimesLT"/>
          <w:color w:val="000000"/>
          <w:sz w:val="20"/>
          <w:lang w:eastAsia="lt-LT"/>
        </w:rPr>
        <w:t>_________________</w:t>
      </w:r>
    </w:p>
    <w:p>
      <w:pPr>
        <w:jc w:val="both"/>
        <w:rPr>
          <w:rFonts w:ascii="Arial" w:hAnsi="Arial"/>
          <w:sz w:val="20"/>
          <w:b/>
        </w:rPr>
      </w:pPr>
    </w:p>
    <w:p>
      <w:pPr>
        <w:jc w:val="both"/>
        <w:rPr>
          <w:rFonts w:ascii="Arial" w:hAnsi="Arial"/>
          <w:sz w:val="20"/>
          <w:b/>
        </w:rPr>
      </w:pPr>
    </w:p>
    <w:p>
      <w:pPr>
        <w:jc w:val="both"/>
        <w:rPr>
          <w:rFonts w:ascii="Arial" w:hAnsi="Arial"/>
          <w:b/>
        </w:rPr>
      </w:pPr>
      <w:r>
        <w:rPr>
          <w:rFonts w:ascii="Arial" w:hAnsi="Arial"/>
          <w:sz w:val="20"/>
          <w:b/>
        </w:rPr>
        <w:t>Pakeitimai:</w:t>
      </w:r>
    </w:p>
    <w:p>
      <w:pPr>
        <w:jc w:val="both"/>
        <w:rPr>
          <w:rFonts w:ascii="Arial" w:hAnsi="Arial"/>
          <w:sz w:val="20"/>
        </w:rPr>
      </w:pPr>
    </w:p>
    <w:p>
      <w:pPr>
        <w:jc w:val="both"/>
        <w:rPr>
          <w:rFonts w:ascii="Arial" w:hAnsi="Arial"/>
        </w:rPr>
      </w:pPr>
      <w:r>
        <w:rPr>
          <w:rFonts w:ascii="Arial" w:hAnsi="Arial"/>
          <w:sz w:val="20"/>
        </w:rPr>
        <w:t>1.</w:t>
      </w:r>
    </w:p>
    <w:p>
      <w:pPr>
        <w:jc w:val="both"/>
        <w:rPr>
          <w:rFonts w:ascii="Arial" w:hAnsi="Arial"/>
        </w:rPr>
      </w:pPr>
      <w:r>
        <w:rPr>
          <w:rFonts w:ascii="Arial" w:hAnsi="Arial"/>
          <w:sz w:val="20"/>
        </w:rPr>
        <w:t>
                    Lietuvos Respublikos socialinės apsaugos ir darbo ministerija, Įsakymas
                </w:t>
      </w:r>
    </w:p>
    <w:p>
      <w:pPr>
        <w:jc w:val="both"/>
        <w:rPr>
          <w:rFonts w:ascii="Arial" w:hAnsi="Arial"/>
        </w:rPr>
      </w:pPr>
      <w:r>
        <w:rPr>
          <w:rFonts w:ascii="Arial" w:hAnsi="Arial"/>
          <w:sz w:val="20"/>
        </w:rPr>
        <w:t xml:space="preserve">Nr. </w:t>
      </w:r>
      <w:fldSimple w:instr="HYPERLINK https://www.e-tar.lt/portal/legalAct.html?documentId=a8f986167f2411efabdbb4a1fc8b0b63">
        <w:r w:rsidRPr="00532B9F">
          <w:rPr>
            <w:rFonts w:ascii="Arial" w:eastAsia="MS Mincho" w:hAnsi="Arial"/>
            <w:sz w:val="20"/>
            <w:iCs/>
            <w:color w:val="0000FF" w:themeColor="hyperlink"/>
            <w:u w:val="single"/>
          </w:rPr>
          <w:t>A1-643</w:t>
        </w:r>
      </w:fldSimple>
      <w:r>
        <w:rPr>
          <w:rFonts w:ascii="Arial" w:eastAsia="MS Mincho" w:hAnsi="Arial"/>
          <w:sz w:val="20"/>
          <w:iCs/>
        </w:rPr>
        <w:t>,
2024-09-30,
paskelbta TAR 2024-09-30, i. k. 2024-17143                </w:t>
      </w:r>
    </w:p>
    <w:p>
      <w:pPr>
        <w:jc w:val="both"/>
        <w:rPr>
          <w:rFonts w:ascii="Arial" w:hAnsi="Arial"/>
        </w:rPr>
      </w:pPr>
      <w:r>
        <w:rPr>
          <w:rFonts w:ascii="Arial" w:hAnsi="Arial"/>
          <w:sz w:val="20"/>
        </w:rPr>
        <w:t>Dėl Lietuvos Respublikos socialinės apsaugos ir darbo ministro 2013 m. rugsėjo 9 d. įsakymo Nr. A1-502 „Dėl Darbuotojų saugos ir sveikatos komitetų bendrųjų nuostatų patvirtinimo“ pakeitimo</w:t>
      </w:r>
    </w:p>
    <w:p>
      <w:pPr>
        <w:jc w:val="both"/>
        <w:rPr>
          <w:rFonts w:ascii="Arial" w:hAnsi="Arial"/>
          <w:sz w:val="20"/>
        </w:rPr>
      </w:pPr>
    </w:p>
    <w:p>
      <w:pPr>
        <w:widowControl w:val="0"/>
        <w:rPr>
          <w:rFonts w:ascii="Arial" w:hAnsi="Arial"/>
          <w:snapToGrid w:val="0"/>
        </w:rPr>
      </w:pPr>
    </w:p>
    <w:sectPr>
      <w:pgSz w:w="11907" w:h="16840" w:code="9"/>
      <w:pgMar w:top="1134" w:right="1134" w:bottom="1134" w:left="1701" w:header="567" w:footer="284" w:gutter="0"/>
      <w:pgNumType w:start="1"/>
      <w:cols w:space="1296"/>
      <w:titlePg/>
      <w:docGrid w:linePitch="360"/>
    </w:sectPr>
  </w:body>
</w:document>
</file>

<file path=word/endnotes.xml><?xml version="1.0" encoding="utf-8"?>
<w:endnotes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endnote w:type="separator" w:id="-1">
    <w:p>
      <w:r>
        <w:separator/>
      </w:r>
    </w:p>
  </w:endnote>
  <w:endnote w:type="continuationSeparator" w:id="0">
    <w:p>
      <w:r>
        <w:continuationSeparator/>
      </w:r>
    </w:p>
  </w:endnote>
</w:endnotes>
</file>

<file path=word/fontTable.xml><?xml version="1.0" encoding="utf-8"?>
<w:fonts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font w:name="Times New Roman">
    <w:panose1 w:val="02020603050405020304"/>
    <w:charset w:val="BA"/>
    <w:family w:val="roman"/>
    <w:pitch w:val="variable"/>
    <w:sig w:usb0="E0002EFF" w:usb1="C000785B" w:usb2="00000009" w:usb3="00000000" w:csb0="000001FF" w:csb1="00000000"/>
  </w:font>
  <w:font w:name="TimesLT">
    <w:altName w:val="Times New Roman"/>
    <w:charset w:val="BA"/>
    <w:family w:val="roman"/>
    <w:pitch w:val="default"/>
    <w:sig w:usb0="00000000" w:usb1="00000000" w:usb2="00000009" w:usb3="00000000" w:csb0="000001FF" w:csb1="00000000"/>
  </w:font>
  <w:font w:name="Cambria">
    <w:panose1 w:val="02040503050406030204"/>
    <w:charset w:val="BA"/>
    <w:family w:val="roman"/>
    <w:pitch w:val="variable"/>
    <w:sig w:usb0="E00006FF" w:usb1="420024FF" w:usb2="02000000" w:usb3="00000000" w:csb0="0000019F" w:csb1="00000000"/>
  </w:font>
  <w:font w:name="Calibri">
    <w:panose1 w:val="020F0502020204030204"/>
    <w:charset w:val="BA"/>
    <w:family w:val="swiss"/>
    <w:pitch w:val="variable"/>
    <w:sig w:usb0="E4002EFF" w:usb1="C000247B" w:usb2="00000009" w:usb3="00000000" w:csb0="000001FF" w:csb1="00000000"/>
  </w:font>
</w:fonts>
</file>

<file path=word/footer1.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pStyle w:val="Porat"/>
    </w:pPr>
  </w:p>
</w:ftr>
</file>

<file path=word/footer2.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pStyle w:val="Porat"/>
    </w:pPr>
  </w:p>
</w:ftr>
</file>

<file path=word/footer3.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pStyle w:val="Porat"/>
    </w:pPr>
  </w:p>
</w:ftr>
</file>

<file path=word/footer4.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pStyle w:val="Porat"/>
    </w:pPr>
  </w:p>
</w:ftr>
</file>

<file path=word/footer5.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pStyle w:val="Porat"/>
    </w:pPr>
  </w:p>
</w:ftr>
</file>

<file path=word/footer6.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pStyle w:val="Porat"/>
    </w:pPr>
  </w:p>
</w:ftr>
</file>

<file path=word/footnotes.xml><?xml version="1.0" encoding="utf-8"?>
<w:footnotes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footnote w:type="separator" w:id="-1">
    <w:p>
      <w:r>
        <w:separator/>
      </w:r>
    </w:p>
  </w:footnote>
  <w:footnote w:type="continuationSeparator" w:id="0">
    <w:p>
      <w:r>
        <w:continuationSeparator/>
      </w:r>
    </w:p>
  </w:footnote>
</w:footnotes>
</file>

<file path=word/header1.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pStyle w:val="Antrats"/>
    </w:pPr>
  </w:p>
</w:hdr>
</file>

<file path=word/header2.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pStyle w:val="Antrats"/>
      <w:jc w:val="center"/>
    </w:pPr>
    <w:r>
      <w:fldChar w:fldCharType="begin"/>
    </w:r>
    <w:r>
      <w:instrText>PAGE   \* MERGEFORMAT</w:instrText>
    </w:r>
    <w:r>
      <w:fldChar w:fldCharType="separate"/>
    </w:r>
    <w:r>
      <w:t>5</w:t>
    </w:r>
    <w:r>
      <w:fldChar w:fldCharType="end"/>
    </w:r>
  </w:p>
  <w:p>
    <w:pPr>
      <w:pStyle w:val="Antrats"/>
    </w:pPr>
  </w:p>
</w:hdr>
</file>

<file path=word/header3.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pStyle w:val="Antrats"/>
    </w:pPr>
  </w:p>
</w:hdr>
</file>

<file path=word/header4.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pStyle w:val="Antrats"/>
    </w:pPr>
  </w:p>
</w:hdr>
</file>

<file path=word/header5.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pStyle w:val="Antrats"/>
      <w:jc w:val="center"/>
    </w:pPr>
    <w:r>
      <w:fldChar w:fldCharType="begin"/>
    </w:r>
    <w:r>
      <w:instrText>PAGE   \* MERGEFORMAT</w:instrText>
    </w:r>
    <w:r>
      <w:fldChar w:fldCharType="separate"/>
    </w:r>
    <w:r>
      <w:t>4</w:t>
    </w:r>
    <w:r>
      <w:fldChar w:fldCharType="end"/>
    </w:r>
  </w:p>
  <w:p>
    <w:pPr>
      <w:pStyle w:val="Antrats"/>
    </w:pPr>
  </w:p>
</w:hdr>
</file>

<file path=word/header6.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pStyle w:val="Antrats"/>
    </w:pPr>
  </w:p>
</w:hdr>
</file>

<file path=word/settings.xml><?xml version="1.0" encoding="utf-8"?>
<w:settings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view w:val="normal"/>
  <w:zoom w:percent="100"/>
  <w:defaultTabStop w:val="1296"/>
  <w:hyphenationZone w:val="396"/>
  <w:doNotHyphenateCaps/>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1A55"/>
  </w:rsids>
  <m:mathPr>
    <m:mathFont m:val="Cambria Math"/>
    <m:brkBin m:val="before"/>
    <m:brkBinSub m:val="--"/>
    <m:smallFrac m:val="0"/>
    <m:dispDef/>
    <m:lMargin m:val="0"/>
    <m:rMargin m:val="0"/>
    <m:defJc m:val="centerGroup"/>
    <m:wrapIndent m:val="1440"/>
    <m:intLim m:val="subSup"/>
    <m:naryLim m:val="undOvr"/>
  </m:mathPr>
  <w:attachedSchema w:val="urn:tic.lt:LLAdmDocST"/>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ACD42"/>
  <w15:docId w15:val="{632DD927-4499-422F-9E05-7CDDA0A2E61B}"/>
</w:settings>
</file>

<file path=word/styles.xml><?xml version="1.0" encoding="utf-8"?>
<w:styles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37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prastasis">
    <w:name w:val="Normal"/>
    <w:qFormat/>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styleId="Vietosrezervavimoenklotekstas">
    <w:name w:val="Placeholder Text"/>
    <w:basedOn w:val="Numatytasispastraiposriftas"/>
    <w:rPr>
      <w:color w:val="808080"/>
    </w:rPr>
  </w:style>
  <w:style w:type="paragraph" w:styleId="Antrats">
    <w:name w:val="header"/>
    <w:basedOn w:val="prastasis"/>
    <w:link w:val="AntratsDiagrama"/>
    <w:uiPriority w:val="99"/>
    <w:unhideWhenUsed/>
    <w:pPr>
      <w:tabs>
        <w:tab w:val="center" w:pos="4819"/>
        <w:tab w:val="right" w:pos="9638"/>
      </w:tabs>
    </w:pPr>
  </w:style>
  <w:style w:type="character" w:customStyle="1" w:styleId="AntratsDiagrama">
    <w:name w:val="Antraštės Diagrama"/>
    <w:basedOn w:val="Numatytasispastraiposriftas"/>
    <w:link w:val="Antrats"/>
    <w:uiPriority w:val="99"/>
  </w:style>
  <w:style w:type="paragraph" w:styleId="Porat">
    <w:name w:val="footer"/>
    <w:basedOn w:val="prastasis"/>
    <w:link w:val="PoratDiagrama"/>
    <w:unhideWhenUsed/>
    <w:pPr>
      <w:tabs>
        <w:tab w:val="center" w:pos="4819"/>
        <w:tab w:val="right" w:pos="9638"/>
      </w:tabs>
    </w:pPr>
  </w:style>
  <w:style w:type="character" w:customStyle="1" w:styleId="PoratDiagrama">
    <w:name w:val="Poraštė Diagrama"/>
    <w:basedOn w:val="Numatytasispastraiposriftas"/>
    <w:link w:val="Porat"/>
  </w:style>
</w:styles>
</file>

<file path=word/webSettings.xml><?xml version="1.0" encoding="utf-8"?>
<w:webSettings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optimizeForBrowser/>
</w:webSettings>
</file>

<file path=word/_rels/document.xml.rels><?xml version="1.0" encoding="UTF-8"?>

<Relationships xmlns="http://schemas.openxmlformats.org/package/2006/relationships">
  <Relationship Id="rId1" Type="http://schemas.openxmlformats.org/officeDocument/2006/relationships/endnotes" Target="endnotes.xml"/>
  <Relationship Id="rId10" Type="http://schemas.openxmlformats.org/officeDocument/2006/relationships/hyperlink" TargetMode="External" Target="https://www.e-tar.lt/portal/lt/legalAct/TAR.31185A622C9F"/>
  <Relationship Id="rId11" Type="http://schemas.openxmlformats.org/officeDocument/2006/relationships/hyperlink" TargetMode="External" Target="https://www.e-tar.lt/portal/lt/legalAct/TAR.4064778BA081"/>
  <Relationship Id="rId12" Type="http://schemas.openxmlformats.org/officeDocument/2006/relationships/hyperlink" TargetMode="External" Target="https://www.e-tar.lt/portal/lt/legalAct/TAR.54CEC8F63B97"/>
  <Relationship Id="rId13" Type="http://schemas.openxmlformats.org/officeDocument/2006/relationships/hyperlink" TargetMode="External" Target="https://www.e-tar.lt/portal/lt/legalAct/TAR.95C79D036AA4"/>
  <Relationship Id="rId14" Type="http://schemas.openxmlformats.org/officeDocument/2006/relationships/settings" Target="settings.xml"/>
  <Relationship Id="rId15" Type="http://schemas.openxmlformats.org/officeDocument/2006/relationships/styles" Target="styles.xml"/>
  <Relationship Id="rId16" Type="http://schemas.openxmlformats.org/officeDocument/2006/relationships/theme" Target="theme/theme1.xml"/>
  <Relationship Id="rId17" Type="http://schemas.openxmlformats.org/officeDocument/2006/relationships/webSettings" Target="webSettings.xml"/>
  <Relationship Id="rId2" Type="http://schemas.openxmlformats.org/officeDocument/2006/relationships/fontTable" Target="fontTable.xml"/>
  <Relationship Id="rId3" Type="http://schemas.openxmlformats.org/officeDocument/2006/relationships/footer" Target="footer1.xml"/>
  <Relationship Id="rId4" Type="http://schemas.openxmlformats.org/officeDocument/2006/relationships/footer" Target="footer2.xml"/>
  <Relationship Id="rId5" Type="http://schemas.openxmlformats.org/officeDocument/2006/relationships/footer" Target="footer3.xml"/>
  <Relationship Id="rId6" Type="http://schemas.openxmlformats.org/officeDocument/2006/relationships/footnotes" Target="footnotes.xml"/>
  <Relationship Id="rId7" Type="http://schemas.openxmlformats.org/officeDocument/2006/relationships/header" Target="header1.xml"/>
  <Relationship Id="rId8" Type="http://schemas.openxmlformats.org/officeDocument/2006/relationships/header" Target="header2.xml"/>
  <Relationship Id="rId9" Type="http://schemas.openxmlformats.org/officeDocument/2006/relationships/header" Target="head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Template>Normal.dotm</Template>
  <TotalTime>4</TotalTime>
  <Pages>11</Pages>
  <Words>17687</Words>
  <Characters>10082</Characters>
  <Application>Microsoft Office Word</Application>
  <DocSecurity>0</DocSecurity>
  <Lines>84</Lines>
  <Paragraphs>55</Paragraphs>
  <ScaleCrop>false</ScaleCrop>
  <Company/>
  <LinksUpToDate>false</LinksUpToDate>
  <CharactersWithSpaces>27714</CharactersWithSpaces>
  <SharedDoc>false</SharedDoc>
  <HyperlinkBase/>
  <HyperlinksChanged>false</HyperlinksChanged>
  <AppVersion>16.0000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2015-10-03T02:56:00Z</dcterms:created>
  <dc:creator>Rima</dc:creator>
  <lastModifiedBy>TAMALIŪNIENĖ Vilija</lastModifiedBy>
  <dcterms:modified xsi:type="dcterms:W3CDTF">2024-10-01T07:37:00Z</dcterms:modified>
  <revision>4</revision>
  <dc:title>LIETUVOS RESPUBLIKOS SOCIALINĖS APSAUGOS IR DARBO MINISTRO</dc:title>
</coreProperties>
</file>