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7C57" w14:textId="77777777" w:rsidR="00F40012" w:rsidRPr="00BB51EB" w:rsidRDefault="00F40012" w:rsidP="00F40012">
      <w:pPr>
        <w:spacing w:line="480" w:lineRule="auto"/>
        <w:rPr>
          <w:rFonts w:cs="Times New Roman"/>
          <w:b/>
          <w:bCs/>
        </w:rPr>
      </w:pPr>
      <w:r w:rsidRPr="00BB51EB">
        <w:rPr>
          <w:rFonts w:cs="Times New Roman"/>
          <w:b/>
          <w:bCs/>
        </w:rPr>
        <w:t>1. Benchmark features for peptide embeddings</w:t>
      </w:r>
    </w:p>
    <w:p w14:paraId="1F84004E" w14:textId="77777777" w:rsidR="00F40012" w:rsidRPr="00BB51EB" w:rsidRDefault="00F40012" w:rsidP="00F40012">
      <w:pPr>
        <w:spacing w:line="480" w:lineRule="auto"/>
        <w:rPr>
          <w:rFonts w:cs="Times New Roman"/>
        </w:rPr>
      </w:pPr>
      <w:r w:rsidRPr="00BB51EB">
        <w:rPr>
          <w:rFonts w:cs="Times New Roman"/>
        </w:rPr>
        <w:t>1.1 Amino acid composition (AAC)</w:t>
      </w:r>
    </w:p>
    <w:p w14:paraId="260C7CFD" w14:textId="77777777" w:rsidR="00F40012" w:rsidRPr="00BB51EB" w:rsidRDefault="00F40012" w:rsidP="00F40012">
      <w:pPr>
        <w:spacing w:line="480" w:lineRule="auto"/>
        <w:rPr>
          <w:rFonts w:cs="Times New Roman"/>
        </w:rPr>
      </w:pPr>
      <w:r w:rsidRPr="00BB51EB">
        <w:rPr>
          <w:rFonts w:cs="Times New Roman"/>
        </w:rPr>
        <w:t>AAC is the percentage of standard amino acids with a fixed length of 20 features where each feature represents the percentage of one standard amino acid in the given peptide.</w:t>
      </w:r>
    </w:p>
    <w:p w14:paraId="4823C8C8" w14:textId="77777777" w:rsidR="00F40012" w:rsidRPr="00BB51EB" w:rsidRDefault="00F40012" w:rsidP="00F40012">
      <w:pPr>
        <w:spacing w:line="480" w:lineRule="auto"/>
        <w:rPr>
          <w:rFonts w:cs="Times New Roman"/>
        </w:rPr>
      </w:pPr>
    </w:p>
    <w:p w14:paraId="1FDA7674" w14:textId="77777777" w:rsidR="00F40012" w:rsidRPr="00BB51EB" w:rsidRDefault="00F40012" w:rsidP="00F40012">
      <w:pPr>
        <w:spacing w:line="480" w:lineRule="auto"/>
        <w:rPr>
          <w:rFonts w:cs="Times New Roman"/>
        </w:rPr>
      </w:pPr>
      <w:r w:rsidRPr="00BB51EB">
        <w:rPr>
          <w:rFonts w:cs="Times New Roman"/>
        </w:rPr>
        <w:t>1.2 Dipeptide composition (DPC)</w:t>
      </w:r>
    </w:p>
    <w:p w14:paraId="1AFEF2CB" w14:textId="77777777" w:rsidR="00F40012" w:rsidRPr="00BB51EB" w:rsidRDefault="00F40012" w:rsidP="00F40012">
      <w:pPr>
        <w:spacing w:line="480" w:lineRule="auto"/>
        <w:rPr>
          <w:rFonts w:cs="Times New Roman"/>
        </w:rPr>
      </w:pPr>
      <w:r w:rsidRPr="00BB51EB">
        <w:rPr>
          <w:rFonts w:cs="Times New Roman"/>
        </w:rPr>
        <w:t>DPC is the rate of dipeptides normalized by all possible dipeptide combinations with a fixed length of 400 features where each feature represents the percentage of one dipeptide part occurring in the given peptide.</w:t>
      </w:r>
    </w:p>
    <w:p w14:paraId="41B5277E" w14:textId="77777777" w:rsidR="00F40012" w:rsidRPr="00BB51EB" w:rsidRDefault="00F40012" w:rsidP="00F40012">
      <w:pPr>
        <w:spacing w:line="480" w:lineRule="auto"/>
        <w:rPr>
          <w:rFonts w:cs="Times New Roman"/>
        </w:rPr>
      </w:pPr>
    </w:p>
    <w:p w14:paraId="5DB8ED21" w14:textId="77777777" w:rsidR="00F40012" w:rsidRPr="00BB51EB" w:rsidRDefault="00F40012" w:rsidP="00F40012">
      <w:pPr>
        <w:spacing w:line="480" w:lineRule="auto"/>
        <w:rPr>
          <w:rFonts w:cs="Times New Roman"/>
        </w:rPr>
      </w:pPr>
      <w:r w:rsidRPr="00BB51EB">
        <w:rPr>
          <w:rFonts w:cs="Times New Roman"/>
        </w:rPr>
        <w:t>1.3 Pseudo amino acid composition (PseAAC)</w:t>
      </w:r>
    </w:p>
    <w:p w14:paraId="1A6DFB75" w14:textId="77777777" w:rsidR="00F40012" w:rsidRPr="00BB51EB" w:rsidRDefault="00F40012" w:rsidP="00F40012">
      <w:pPr>
        <w:spacing w:line="480" w:lineRule="auto"/>
        <w:rPr>
          <w:rFonts w:cs="Times New Roman"/>
        </w:rPr>
      </w:pPr>
      <w:r w:rsidRPr="00BB51EB">
        <w:rPr>
          <w:rFonts w:cs="Times New Roman"/>
        </w:rPr>
        <w:t xml:space="preserve">The PseAAC considers both the sequence-ordering information within a local range and the global sequence-ordering effects </w:t>
      </w:r>
      <w:r w:rsidRPr="00BB51EB">
        <w:rPr>
          <w:rFonts w:cs="Times New Roman"/>
        </w:rPr>
        <w:fldChar w:fldCharType="begin"/>
      </w:r>
      <w:r w:rsidRPr="00BB51EB">
        <w:rPr>
          <w:rFonts w:cs="Times New Roman"/>
        </w:rPr>
        <w:instrText xml:space="preserve"> ADDIN ZOTERO_ITEM CSL_CITATION {"citationID":"uOWPEpoD","properties":{"formattedCitation":"(Lertampaiporn et al., 2022)","plainCitation":"(Lertampaiporn et al., 2022)","noteIndex":0},"citationItems":[{"id":3244,"uris":["http://zotero.org/users/8037828/items/UH9RXTW2"],"itemData":{"id":3244,"type":"article-journal","abstract":"Hypertension or elevated blood pressure is a serious medical condition that significantly increases the risks of cardiovascular disease, heart disease, diabetes, stroke, kidney disease, and other health problems, that affect people worldwide. Thus, hypertension is one of the major global causes of premature death. Regarding the prevention and treatment of hypertension with no or few side effects, antihypertensive peptides (AHTPs) obtained from natural sources might be useful as nutraceuticals. Therefore, the search for alternative/novel AHTPs in food or natural sources has received much attention, as AHTPs may be functional agents for human health. AHTPs have been observed in diverse organisms, although many of them remain underinvestigated. The identification of peptides with antihypertensive activity in the laboratory is time- and resource-consuming. Alternatively, computational methods based on robust machine learning can identify or screen potential AHTP candidates prior to experimental verification. In this paper, we propose Ensemble-AHTPpred, an ensemble machine learning algorithm composed of a random forest (RF), a support vector machine (SVM), and extreme gradient boosting (XGB), with the aim of integrating diverse heterogeneous algorithms to enhance the robustness of the final predictive model. The selected feature set includes various computed features, such as various physicochemical properties, amino acid compositions (AACs), transitions, n-grams, and secondary structure-related information; these features are able to learn more information in terms of analyzing or explaining the characteristics of the predicted peptide. In addition, the tool is integrated with a newly proposed composite feature (generated based on a logistic regression function) that combines various feature aspects to enable improved AHTP characterization. Our tool, Ensemble-AHTPpred, achieved an overall accuracy above 90% on independent test data. Additionally, the approach was applied to novel experimentally validated AHTPs, obtained from recent studies, which did not overlap with the training and test datasets, and the tool could precisely predict these AHTPs.","container-title":"Frontiers in Genetics","DOI":"10.3389/fgene.2022.883766","ISSN":"1664-8021","journalAbbreviation":"Front. Genet.","language":"en","note":"tex.ids= lertampaipornEnsembleAHTPpredRobustEnsemble2022a","page":"883766","source":"DOI.org (Crossref)","title":"Ensemble-AHTPpred: A Robust Ensemble Machine Learning Model Integrated With a New Composite Feature for Identifying Antihypertensive Peptides","title-short":"Ensemble-AHTPpred","volume":"13","author":[{"family":"Lertampaiporn","given":"Supatcha"},{"family":"Hongsthong","given":"Apiradee"},{"family":"Wattanapornprom","given":"Warin"},{"family":"Thammarongtham","given":"Chinae"}],"issued":{"date-parts":[["2022",4,28]]},"citation-key":"lertampaipornEnsembleAHTPpredRobustEnsemble2022"}}],"schema":"https://github.com/citation-style-language/schema/raw/master/csl-citation.json"} </w:instrText>
      </w:r>
      <w:r w:rsidRPr="00BB51EB">
        <w:rPr>
          <w:rFonts w:cs="Times New Roman"/>
        </w:rPr>
        <w:fldChar w:fldCharType="separate"/>
      </w:r>
      <w:r w:rsidRPr="00BB51EB">
        <w:rPr>
          <w:rFonts w:cs="Times New Roman"/>
          <w:noProof/>
        </w:rPr>
        <w:t>(Lertampaiporn et al., 2022)</w:t>
      </w:r>
      <w:r w:rsidRPr="00BB51EB">
        <w:rPr>
          <w:rFonts w:cs="Times New Roman"/>
        </w:rPr>
        <w:fldChar w:fldCharType="end"/>
      </w:r>
      <w:r w:rsidRPr="00BB51EB">
        <w:rPr>
          <w:rFonts w:cs="Times New Roman"/>
        </w:rPr>
        <w:t xml:space="preserve">. Peptide sequence can be encoded to a (20+d)-dimension vector of numeric observations for d-tier correlation structure. In this study, 21 dimension features of PseAAC (lambda=1 and weight=0.05) were adopted since some ACE inhibitory peptides are dipeptides. </w:t>
      </w:r>
    </w:p>
    <w:p w14:paraId="085483A3" w14:textId="77777777" w:rsidR="00F40012" w:rsidRPr="00BB51EB" w:rsidRDefault="00F40012" w:rsidP="00F40012">
      <w:pPr>
        <w:spacing w:line="480" w:lineRule="auto"/>
        <w:rPr>
          <w:rFonts w:cs="Times New Roman"/>
        </w:rPr>
      </w:pPr>
    </w:p>
    <w:p w14:paraId="2D4AA64F" w14:textId="77777777" w:rsidR="00F40012" w:rsidRPr="00BB51EB" w:rsidRDefault="00F40012" w:rsidP="00F40012">
      <w:pPr>
        <w:spacing w:line="480" w:lineRule="auto"/>
        <w:rPr>
          <w:rFonts w:cs="Times New Roman"/>
        </w:rPr>
      </w:pPr>
      <w:r w:rsidRPr="00BB51EB">
        <w:rPr>
          <w:rFonts w:cs="Times New Roman"/>
        </w:rPr>
        <w:t>1.4 Amino acid Index (AAI)</w:t>
      </w:r>
    </w:p>
    <w:p w14:paraId="23DAF0FA" w14:textId="77777777" w:rsidR="00F40012" w:rsidRPr="00BB51EB" w:rsidRDefault="00F40012" w:rsidP="00F40012">
      <w:pPr>
        <w:spacing w:line="480" w:lineRule="auto"/>
        <w:rPr>
          <w:rFonts w:cs="Times New Roman"/>
        </w:rPr>
      </w:pPr>
      <w:r w:rsidRPr="00BB51EB">
        <w:rPr>
          <w:rFonts w:cs="Times New Roman"/>
        </w:rPr>
        <w:t xml:space="preserve">The AAI database contains a total of 566 numerical values of amino acids including physicochemical properties and biochemical properties of amino acids and pairs of amino acids </w:t>
      </w:r>
      <w:r w:rsidRPr="00BB51EB">
        <w:rPr>
          <w:rFonts w:cs="Times New Roman"/>
        </w:rPr>
        <w:fldChar w:fldCharType="begin"/>
      </w:r>
      <w:r w:rsidRPr="00BB51EB">
        <w:rPr>
          <w:rFonts w:cs="Times New Roman"/>
        </w:rPr>
        <w:instrText xml:space="preserve"> ADDIN ZOTERO_ITEM CSL_CITATION {"citationID":"EZEdzJFd","properties":{"formattedCitation":"(Kawashima et al., 2008)","plainCitation":"(Kawashima et al., 2008)","noteIndex":0},"citationItems":[{"id":462,"uris":["http://zotero.org/users/8037828/items/4SMQNC67"],"itemData":{"id":462,"type":"article-journal","abstract":"AAindex is a database of numerical indices representing various physicochemical and biochemical properties of amino acids and pairs of amino acids. We have added a collection of protein contact potentials to the AAindex as a new section. Accordingly AAindex consists of three sections now: AAindex1 for the amino acid index of 20 numerical values, AAindex2 for the amino acid substitution matrix and AAindex3 for the statistical protein contact potentials. All data are derived from published literature. The database can be accessed through the DBGET/LinkDB system at GenomeNet (http://www.genome.jp/dbget-bin/www_bfind?aaindex) or downloaded by anonymous FTP (ftp://ftp.genome.jp/pub/db/community/aaindex/).","container-title":"Nucleic Acids Research","DOI":"10.1093/nar/gkm998","ISSN":"1362-4962","issue":"Database issue","journalAbbreviation":"Nucleic Acids Res","language":"eng","note":"00000 \nPMID: 17998252\nPMCID: PMC2238890","page":"D202-205","source":"PubMed","title":"AAindex: amino acid index database, progress report 2008","title-short":"AAindex","volume":"36","author":[{"family":"Kawashima","given":"Shuichi"},{"family":"Pokarowski","given":"Piotr"},{"family":"Pokarowska","given":"Maria"},{"family":"Kolinski","given":"Andrzej"},{"family":"Katayama","given":"Toshiaki"},{"family":"Kanehisa","given":"Minoru"}],"issued":{"date-parts":[["2008",1]]},"citation-key":"kawashimaAAindexAminoAcid2008"}}],"schema":"https://github.com/citation-style-language/schema/raw/master/csl-citation.json"} </w:instrText>
      </w:r>
      <w:r w:rsidRPr="00BB51EB">
        <w:rPr>
          <w:rFonts w:cs="Times New Roman"/>
        </w:rPr>
        <w:fldChar w:fldCharType="separate"/>
      </w:r>
      <w:r w:rsidRPr="00BB51EB">
        <w:rPr>
          <w:rFonts w:cs="Times New Roman"/>
          <w:noProof/>
        </w:rPr>
        <w:t>(Kawashima et al., 2008)</w:t>
      </w:r>
      <w:r w:rsidRPr="00BB51EB">
        <w:rPr>
          <w:rFonts w:cs="Times New Roman"/>
        </w:rPr>
        <w:fldChar w:fldCharType="end"/>
      </w:r>
      <w:r w:rsidRPr="00BB51EB">
        <w:rPr>
          <w:rFonts w:cs="Times New Roman"/>
        </w:rPr>
        <w:t xml:space="preserve">. Eight high-quality AAIs were identified by clustering, whose accession codes in the AAI database are BIOV880101, BLAM930101, CEDJ970104, LIFS790101, MAXF760101, NAKH920108, TSAJ990101 and MIYS990104 </w:t>
      </w:r>
      <w:r w:rsidRPr="00BB51EB">
        <w:rPr>
          <w:rFonts w:cs="Times New Roman"/>
        </w:rPr>
        <w:fldChar w:fldCharType="begin"/>
      </w:r>
      <w:r w:rsidRPr="00BB51EB">
        <w:rPr>
          <w:rFonts w:cs="Times New Roman"/>
        </w:rPr>
        <w:instrText xml:space="preserve"> ADDIN ZOTERO_ITEM CSL_CITATION {"citationID":"BkLMTMRL","properties":{"formattedCitation":"(Manavalan et al., 2019)","plainCitation":"(Manavalan et al., 2019)","noteIndex":0},"citationItems":[{"id":3910,"uris":["http://zotero.org/users/8037828/items/MGNMKAF8"],"itemData":{"id":3910,"type":"article-journal","abstract":"Motivation: Cardiovascular disease is the primary cause of death globally accounting for approximately 17.7 million deaths per year. One of the stakes linked with cardiovascular diseases and other complications is hypertension. Naturally derived bioactive peptides with antihypertensive activities serve as promising alternatives to pharmaceutical drugs. So far, there is no comprehensive analysis, assessment of diverse features and implementation of various machine-learning (ML) algorithms applied for antihypertensive peptide (AHTP) model construction.","container-title":"Bioinformatics","DOI":"10.1093/bioinformatics/bty1047","ISSN":"1367-4803, 1460-2059","issue":"16","language":"en","page":"2757-2765","source":"DOI.org (Crossref)","title":"mAHTPred: a sequence-based meta-predictor for improving the prediction of anti-hypertensive peptides using effective feature representation","title-short":"mAHTPred","volume":"35","author":[{"family":"Manavalan","given":"Balachandran"},{"family":"Basith","given":"Shaherin"},{"family":"Shin","given":"Tae Hwan"},{"family":"Wei","given":"Leyi"},{"family":"Lee","given":"Gwang"}],"editor":[{"family":"Hancock","given":"John"}],"issued":{"date-parts":[["2019",8,15]]},"citation-key":"manavalanMAHTPredSequencebasedMetapredictor2019"}}],"schema":"https://github.com/citation-style-language/schema/raw/master/csl-citation.json"} </w:instrText>
      </w:r>
      <w:r w:rsidRPr="00BB51EB">
        <w:rPr>
          <w:rFonts w:cs="Times New Roman"/>
        </w:rPr>
        <w:fldChar w:fldCharType="separate"/>
      </w:r>
      <w:r w:rsidRPr="00BB51EB">
        <w:rPr>
          <w:rFonts w:cs="Times New Roman"/>
          <w:noProof/>
        </w:rPr>
        <w:t xml:space="preserve">(Manavalan et al., </w:t>
      </w:r>
      <w:r w:rsidRPr="00BB51EB">
        <w:rPr>
          <w:rFonts w:cs="Times New Roman"/>
          <w:noProof/>
        </w:rPr>
        <w:lastRenderedPageBreak/>
        <w:t>2019)</w:t>
      </w:r>
      <w:r w:rsidRPr="00BB51EB">
        <w:rPr>
          <w:rFonts w:cs="Times New Roman"/>
        </w:rPr>
        <w:fldChar w:fldCharType="end"/>
      </w:r>
      <w:r w:rsidRPr="00BB51EB">
        <w:rPr>
          <w:rFonts w:cs="Times New Roman"/>
        </w:rPr>
        <w:t>. Since the smallest peptides in our ACE inhibitory peptide dataset is dipeptides, only the features of the N terminus and the C terminus were extracted for peptide embeddings. each peptide will be represented by a fixed length of 16 vectors.</w:t>
      </w:r>
    </w:p>
    <w:p w14:paraId="215B7D37" w14:textId="77777777" w:rsidR="00F40012" w:rsidRPr="00BB51EB" w:rsidRDefault="00F40012" w:rsidP="00F40012">
      <w:pPr>
        <w:spacing w:line="480" w:lineRule="auto"/>
        <w:rPr>
          <w:rFonts w:cs="Times New Roman"/>
        </w:rPr>
      </w:pPr>
    </w:p>
    <w:p w14:paraId="4DDF6B04" w14:textId="77777777" w:rsidR="00F40012" w:rsidRPr="00BB51EB" w:rsidRDefault="00F40012" w:rsidP="00F40012">
      <w:pPr>
        <w:spacing w:line="480" w:lineRule="auto"/>
        <w:rPr>
          <w:rFonts w:cs="Times New Roman"/>
        </w:rPr>
      </w:pPr>
      <w:r w:rsidRPr="00BB51EB">
        <w:rPr>
          <w:rFonts w:cs="Times New Roman"/>
        </w:rPr>
        <w:t>1.5 Overlapping property features (OPF)</w:t>
      </w:r>
    </w:p>
    <w:p w14:paraId="0F194F99" w14:textId="77777777" w:rsidR="00F40012" w:rsidRPr="00BB51EB" w:rsidRDefault="00F40012" w:rsidP="00F40012">
      <w:pPr>
        <w:spacing w:line="480" w:lineRule="auto"/>
        <w:rPr>
          <w:rFonts w:cs="Times New Roman"/>
        </w:rPr>
      </w:pPr>
      <w:r w:rsidRPr="00BB51EB">
        <w:rPr>
          <w:rFonts w:cs="Times New Roman"/>
        </w:rPr>
        <w:t>The physicochemical properties of amino acids are clustered into ten groups. However, there is still a chance of overlapping a different group. To show the relationship of varied properties, we computed a 10-bit vector comprised of 0/1 to depict each amino acid of a given peptide. If a residue of the peptide belongs to each property, the parameter will be set to 1, else 0. Since the smallest peptides in our ACE inhibitory peptide dataset is dipeptides, only the features of the N terminus and the C terminus were extracted for peptide embeddings. each peptide will be represented by a fixed length of 20 vectors.</w:t>
      </w:r>
    </w:p>
    <w:p w14:paraId="590F5D93" w14:textId="77777777" w:rsidR="00F40012" w:rsidRPr="00BB51EB" w:rsidRDefault="00F40012" w:rsidP="00F40012">
      <w:pPr>
        <w:spacing w:line="480" w:lineRule="auto"/>
        <w:rPr>
          <w:rFonts w:cs="Times New Roman"/>
        </w:rPr>
      </w:pPr>
    </w:p>
    <w:p w14:paraId="3D85A4B2" w14:textId="77777777" w:rsidR="00F40012" w:rsidRPr="00BB51EB" w:rsidRDefault="00F40012" w:rsidP="00F40012">
      <w:pPr>
        <w:spacing w:line="480" w:lineRule="auto"/>
        <w:rPr>
          <w:rFonts w:cs="Times New Roman"/>
        </w:rPr>
      </w:pPr>
      <w:r w:rsidRPr="00BB51EB">
        <w:rPr>
          <w:rFonts w:cs="Times New Roman"/>
        </w:rPr>
        <w:t>1.6 Binary profile/one-hot encoding (BP)</w:t>
      </w:r>
    </w:p>
    <w:p w14:paraId="4B0C27C4" w14:textId="77777777" w:rsidR="00F40012" w:rsidRPr="00BB51EB" w:rsidRDefault="00F40012" w:rsidP="00F40012">
      <w:pPr>
        <w:spacing w:line="480" w:lineRule="auto"/>
        <w:rPr>
          <w:rFonts w:cs="Times New Roman"/>
        </w:rPr>
      </w:pPr>
      <w:r w:rsidRPr="00BB51EB">
        <w:rPr>
          <w:rFonts w:cs="Times New Roman"/>
        </w:rPr>
        <w:t xml:space="preserve">For a given length peptide with k residues, the i-th (i &lt; k) residue has 20 different variations in standard amino acids, which can be converted into a 20-dimensional vector for the i-th peptide. Then, a peptide with k residues will be represented by a 20*k matrix. Considering peptides in our dataset have different lengths (maximum length is 28 residues), we set an empty 20*30 matrix for peptide representation. The i-th row represents i-th residue in the given peptide. For example, the second residue arginine can be represented by the second row (1, 0, 0, 0, 0, 0, 0, 0, 0, 0, 0, 0, 0, 0, 0, 0, 0, 0, 0, 0) of the 20*30 matrix, where the location of the 1 represents the arginine. Finally, the matrix is reshaped as a 600*1 vector for model development. </w:t>
      </w:r>
    </w:p>
    <w:p w14:paraId="2C5E61A5" w14:textId="77777777" w:rsidR="00F40012" w:rsidRPr="00BB51EB" w:rsidRDefault="00F40012" w:rsidP="00F40012">
      <w:pPr>
        <w:spacing w:line="480" w:lineRule="auto"/>
        <w:rPr>
          <w:rFonts w:cs="Times New Roman"/>
        </w:rPr>
      </w:pPr>
    </w:p>
    <w:p w14:paraId="3BD4CFCF" w14:textId="77777777" w:rsidR="00F40012" w:rsidRPr="00BB51EB" w:rsidRDefault="00F40012" w:rsidP="00F40012">
      <w:pPr>
        <w:spacing w:line="480" w:lineRule="auto"/>
        <w:rPr>
          <w:rFonts w:cs="Times New Roman"/>
        </w:rPr>
      </w:pPr>
      <w:r w:rsidRPr="00BB51EB">
        <w:rPr>
          <w:rFonts w:cs="Times New Roman"/>
        </w:rPr>
        <w:lastRenderedPageBreak/>
        <w:t>1.7 Adaptive skip dipeptide composition (ASDC)</w:t>
      </w:r>
    </w:p>
    <w:p w14:paraId="6E34FC02" w14:textId="77777777" w:rsidR="00F40012" w:rsidRPr="00BB51EB" w:rsidRDefault="00F40012" w:rsidP="00F40012">
      <w:pPr>
        <w:autoSpaceDE w:val="0"/>
        <w:autoSpaceDN w:val="0"/>
        <w:adjustRightInd w:val="0"/>
        <w:spacing w:line="360" w:lineRule="auto"/>
        <w:rPr>
          <w:rFonts w:cs="Times New Roman"/>
          <w:color w:val="000000" w:themeColor="text1"/>
        </w:rPr>
      </w:pPr>
      <w:r w:rsidRPr="00BB51EB">
        <w:rPr>
          <w:rFonts w:cs="Times New Roman"/>
          <w:color w:val="000000" w:themeColor="text1"/>
        </w:rPr>
        <w:t xml:space="preserve">The ASDC is a modified </w:t>
      </w:r>
      <w:bookmarkStart w:id="0" w:name="_Hlk57277277"/>
      <w:r w:rsidRPr="00BB51EB">
        <w:rPr>
          <w:rFonts w:cs="Times New Roman"/>
          <w:color w:val="000000" w:themeColor="text1"/>
        </w:rPr>
        <w:t xml:space="preserve">dinucleotide </w:t>
      </w:r>
      <w:bookmarkEnd w:id="0"/>
      <w:r w:rsidRPr="00BB51EB">
        <w:rPr>
          <w:rFonts w:cs="Times New Roman"/>
          <w:color w:val="000000" w:themeColor="text1"/>
        </w:rPr>
        <w:t xml:space="preserve">composition, which sufficiently considers the correlation information present not only between adjacent residues but also between intervening residues </w:t>
      </w:r>
      <w:r w:rsidRPr="00BB51EB">
        <w:rPr>
          <w:rFonts w:cs="Times New Roman"/>
          <w:color w:val="000000" w:themeColor="text1"/>
        </w:rPr>
        <w:fldChar w:fldCharType="begin"/>
      </w:r>
      <w:r w:rsidRPr="00BB51EB">
        <w:rPr>
          <w:rFonts w:cs="Times New Roman"/>
          <w:color w:val="000000" w:themeColor="text1"/>
        </w:rPr>
        <w:instrText xml:space="preserve"> ADDIN ZOTERO_ITEM CSL_CITATION {"citationID":"YkzFs5CB","properties":{"formattedCitation":"(Chen et al., 2022)","plainCitation":"(Chen et al., 2022)","noteIndex":0},"citationItems":[{"id":4146,"uris":["http://zotero.org/users/8037828/items/GHYQSKV6"],"itemData":{"id":4146,"type":"article-journal","abstract":"The rapid accumulation of molecular data motivates development of innovative approaches to computationally characterize sequences, structures and functions of biological and chemical molecules in an efficient, accessible and accurate manner. Notwithstanding several computational tools that characterize protein or nucleic acids data, there are no one-stop computational toolkits that comprehensively characterize a wide range of biomolecules. We address this vital need by developing a holistic platform that generates features from sequence and structural data for a diverse collection of molecule types. Our freely available and easy-to-use iFeatureOmega platform generates, analyzes and visualizes 189 representations for biological sequences, structures and ligands. To the best of our knowledge, iFeatureOmega provides the largest scope when directly compared to the current solutions, in terms of the number of feature extraction and analysis approaches and coverage of different molecules. We release three versions of iFeatureOmega including a webserver, command line interface and graphical interface to satisfy needs of experienced bioinformaticians and less computer-savvy biologists and biochemists. With the assistance of iFeatureOmega, users can encode their molecular data into representations that facilitate construction of predictive models and analytical studies. We highlight benefits of iFeatureOmega based on three research applications, demonstrating how it can be used to accelerate and streamline research in bioinformatics, computational biology, and cheminformatics areas. The iFeatureOmega webserver is freely available at http://ifeatureomega.erc.monash.edu and the standalone versions can be downloaded from https://github.com/Superzchen/iFeatureOmega-GUI/ and https://github.com/Superzchen/iFeatureOmega-CLI/.","container-title":"Nucleic Acids Research","DOI":"10.1093/nar/gkac351","ISSN":"0305-1048","issue":"W1","journalAbbreviation":"Nucleic Acids Research","page":"W434-W447","source":"Silverchair","title":"iFeatureOmega: an integrative platform for engineering, visualization and analysis of features from molecular sequences, structural and ligand data sets","title-short":"iFeatureOmega","volume":"50","author":[{"family":"Chen","given":"Zhen"},{"family":"Liu","given":"Xuhan"},{"family":"Zhao","given":"Pei"},{"family":"Li","given":"Chen"},{"family":"Wang","given":"Yanan"},{"family":"Li","given":"Fuyi"},{"family":"Akutsu","given":"Tatsuya"},{"family":"Bain","given":"Chris"},{"family":"Gasser","given":"Robin B"},{"family":"Li","given":"Junzhou"},{"family":"Yang","given":"Zuoren"},{"family":"Gao","given":"Xin"},{"family":"Kurgan","given":"Lukasz"},{"family":"Song","given":"Jiangning"}],"issued":{"date-parts":[["2022",7,5]]},"citation-key":"chenIFeatureOmegaIntegrativePlatform2022"}}],"schema":"https://github.com/citation-style-language/schema/raw/master/csl-citation.json"} </w:instrText>
      </w:r>
      <w:r w:rsidRPr="00BB51EB">
        <w:rPr>
          <w:rFonts w:cs="Times New Roman"/>
          <w:color w:val="000000" w:themeColor="text1"/>
        </w:rPr>
        <w:fldChar w:fldCharType="separate"/>
      </w:r>
      <w:r w:rsidRPr="00BB51EB">
        <w:rPr>
          <w:rFonts w:cs="Times New Roman"/>
          <w:noProof/>
          <w:color w:val="000000" w:themeColor="text1"/>
        </w:rPr>
        <w:t>(Chen et al., 2022)</w:t>
      </w:r>
      <w:r w:rsidRPr="00BB51EB">
        <w:rPr>
          <w:rFonts w:cs="Times New Roman"/>
          <w:color w:val="000000" w:themeColor="text1"/>
        </w:rPr>
        <w:fldChar w:fldCharType="end"/>
      </w:r>
      <w:r w:rsidRPr="00BB51EB">
        <w:rPr>
          <w:rFonts w:cs="Times New Roman"/>
          <w:color w:val="000000" w:themeColor="text1"/>
        </w:rPr>
        <w:t xml:space="preserve">. It is </w:t>
      </w:r>
      <w:r w:rsidRPr="00BB51EB">
        <w:rPr>
          <w:rFonts w:cs="Times New Roman"/>
        </w:rPr>
        <w:t xml:space="preserve">a fixed length of 400 features. </w:t>
      </w:r>
      <w:r w:rsidRPr="00BB51EB">
        <w:rPr>
          <w:rFonts w:cs="Times New Roman"/>
          <w:color w:val="000000" w:themeColor="text1"/>
        </w:rPr>
        <w:t>For given a sequence, the feature vector for ASDC is represented by:</w:t>
      </w:r>
    </w:p>
    <w:p w14:paraId="01B4C155" w14:textId="77777777" w:rsidR="00F40012" w:rsidRPr="00BB51EB" w:rsidRDefault="00F40012" w:rsidP="00F40012">
      <w:pPr>
        <w:autoSpaceDE w:val="0"/>
        <w:autoSpaceDN w:val="0"/>
        <w:adjustRightInd w:val="0"/>
        <w:spacing w:line="360" w:lineRule="auto"/>
        <w:rPr>
          <w:rFonts w:cs="Times New Roman"/>
          <w:color w:val="000000" w:themeColor="text1"/>
        </w:rPr>
      </w:pPr>
      <m:oMathPara>
        <m:oMath>
          <m:r>
            <w:rPr>
              <w:rFonts w:ascii="Cambria Math" w:hAnsi="Cambria Math" w:cs="Times New Roman"/>
              <w:color w:val="000000" w:themeColor="text1"/>
            </w:rPr>
            <m:t>ASDC=</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v1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v1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v400</m:t>
                  </m:r>
                </m:sub>
              </m:sSub>
            </m:e>
          </m:d>
          <m:r>
            <w:rPr>
              <w:rFonts w:ascii="Cambria Math" w:hAnsi="Cambria Math" w:cs="Times New Roman"/>
              <w:color w:val="000000" w:themeColor="text1"/>
            </w:rPr>
            <m:t>,</m:t>
          </m:r>
        </m:oMath>
      </m:oMathPara>
    </w:p>
    <w:p w14:paraId="0E697CE0" w14:textId="77777777" w:rsidR="00F40012" w:rsidRPr="00BB51EB" w:rsidRDefault="00F40012" w:rsidP="00F40012">
      <w:pPr>
        <w:autoSpaceDE w:val="0"/>
        <w:autoSpaceDN w:val="0"/>
        <w:adjustRightInd w:val="0"/>
        <w:spacing w:line="360" w:lineRule="auto"/>
        <w:rPr>
          <w:rFonts w:cs="Times New Roman"/>
          <w:color w:val="000000" w:themeColor="text1"/>
        </w:rPr>
      </w:pPr>
      <w:r w:rsidRPr="00BB51EB">
        <w:rPr>
          <w:rFonts w:cs="Times New Roman"/>
          <w:color w:val="000000" w:themeColor="text1"/>
        </w:rPr>
        <w:t xml:space="preserve">where </w:t>
      </w:r>
      <w:r w:rsidRPr="00BB51EB">
        <w:rPr>
          <w:rFonts w:cs="Times New Roman"/>
          <w:i/>
          <w:iCs/>
          <w:color w:val="000000" w:themeColor="text1"/>
        </w:rPr>
        <w:t>f</w:t>
      </w:r>
      <w:r w:rsidRPr="00BB51EB">
        <w:rPr>
          <w:rFonts w:cs="Times New Roman"/>
          <w:i/>
          <w:iCs/>
          <w:color w:val="000000" w:themeColor="text1"/>
          <w:vertAlign w:val="subscript"/>
        </w:rPr>
        <w:t>vi</w:t>
      </w:r>
      <w:r w:rsidRPr="00BB51EB">
        <w:rPr>
          <w:rFonts w:cs="Times New Roman"/>
          <w:color w:val="000000" w:themeColor="text1"/>
        </w:rPr>
        <w:t xml:space="preserve"> is calculated by</w:t>
      </w:r>
    </w:p>
    <w:p w14:paraId="7FE84A2E" w14:textId="77777777" w:rsidR="00F40012" w:rsidRPr="00BB51EB" w:rsidRDefault="00F40012" w:rsidP="00F40012">
      <w:pPr>
        <w:autoSpaceDE w:val="0"/>
        <w:autoSpaceDN w:val="0"/>
        <w:adjustRightInd w:val="0"/>
        <w:spacing w:line="360" w:lineRule="auto"/>
        <w:rPr>
          <w:rFonts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vi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g=1</m:t>
                  </m:r>
                </m:sub>
                <m:sup>
                  <m:r>
                    <w:rPr>
                      <w:rFonts w:ascii="Cambria Math" w:hAnsi="Cambria Math" w:cs="Times New Roman"/>
                      <w:color w:val="000000" w:themeColor="text1"/>
                    </w:rPr>
                    <m:t>L-1</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O</m:t>
                      </m:r>
                    </m:e>
                    <m:sub>
                      <m:r>
                        <w:rPr>
                          <w:rFonts w:ascii="Cambria Math" w:hAnsi="Cambria Math" w:cs="Times New Roman"/>
                          <w:color w:val="000000" w:themeColor="text1"/>
                        </w:rPr>
                        <m:t>i</m:t>
                      </m:r>
                    </m:sub>
                    <m:sup>
                      <m:r>
                        <w:rPr>
                          <w:rFonts w:ascii="Cambria Math" w:hAnsi="Cambria Math" w:cs="Times New Roman"/>
                          <w:color w:val="000000" w:themeColor="text1"/>
                        </w:rPr>
                        <m:t>g</m:t>
                      </m:r>
                    </m:sup>
                  </m:sSubSup>
                </m:e>
              </m:nary>
            </m:num>
            <m:den>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400</m:t>
                  </m:r>
                </m:sup>
                <m:e>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g=1</m:t>
                      </m:r>
                    </m:sub>
                    <m:sup>
                      <m:r>
                        <w:rPr>
                          <w:rFonts w:ascii="Cambria Math" w:hAnsi="Cambria Math" w:cs="Times New Roman"/>
                          <w:color w:val="000000" w:themeColor="text1"/>
                        </w:rPr>
                        <m:t>L-1</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O</m:t>
                          </m:r>
                        </m:e>
                        <m:sub>
                          <m:r>
                            <w:rPr>
                              <w:rFonts w:ascii="Cambria Math" w:hAnsi="Cambria Math" w:cs="Times New Roman"/>
                              <w:color w:val="000000" w:themeColor="text1"/>
                            </w:rPr>
                            <m:t>i</m:t>
                          </m:r>
                        </m:sub>
                        <m:sup>
                          <m:r>
                            <w:rPr>
                              <w:rFonts w:ascii="Cambria Math" w:hAnsi="Cambria Math" w:cs="Times New Roman"/>
                              <w:color w:val="000000" w:themeColor="text1"/>
                            </w:rPr>
                            <m:t>g</m:t>
                          </m:r>
                        </m:sup>
                      </m:sSubSup>
                    </m:e>
                  </m:nary>
                </m:e>
              </m:nary>
            </m:den>
          </m:f>
          <m:r>
            <w:rPr>
              <w:rFonts w:ascii="Cambria Math" w:hAnsi="Cambria Math" w:cs="Times New Roman"/>
              <w:color w:val="000000" w:themeColor="text1"/>
            </w:rPr>
            <m:t>,</m:t>
          </m:r>
        </m:oMath>
      </m:oMathPara>
    </w:p>
    <w:p w14:paraId="0D72CF62" w14:textId="77777777" w:rsidR="00F40012" w:rsidRPr="00BB51EB" w:rsidRDefault="00F40012" w:rsidP="00F40012">
      <w:pPr>
        <w:spacing w:line="480" w:lineRule="auto"/>
        <w:rPr>
          <w:rFonts w:cs="Times New Roman"/>
          <w:color w:val="000000" w:themeColor="text1"/>
        </w:rPr>
      </w:pPr>
      <w:r w:rsidRPr="00BB51EB">
        <w:rPr>
          <w:rFonts w:cs="Times New Roman"/>
          <w:color w:val="000000" w:themeColor="text1"/>
        </w:rPr>
        <w:t xml:space="preserve">where </w:t>
      </w:r>
      <w:r w:rsidRPr="00BB51EB">
        <w:rPr>
          <w:rFonts w:cs="Times New Roman"/>
          <w:i/>
          <w:iCs/>
          <w:color w:val="000000" w:themeColor="text1"/>
        </w:rPr>
        <w:t>f</w:t>
      </w:r>
      <w:r w:rsidRPr="00BB51EB">
        <w:rPr>
          <w:rFonts w:cs="Times New Roman"/>
          <w:i/>
          <w:iCs/>
          <w:color w:val="000000" w:themeColor="text1"/>
          <w:vertAlign w:val="subscript"/>
        </w:rPr>
        <w:t>vi</w:t>
      </w:r>
      <w:r w:rsidRPr="00BB51EB">
        <w:rPr>
          <w:rFonts w:cs="Times New Roman"/>
          <w:color w:val="000000" w:themeColor="text1"/>
        </w:rPr>
        <w:t xml:space="preserve"> denotes the occurrence frequency of all possible dipeptide with ≤ </w:t>
      </w:r>
      <w:r w:rsidRPr="00BB51EB">
        <w:rPr>
          <w:rFonts w:cs="Times New Roman"/>
          <w:i/>
          <w:iCs/>
          <w:color w:val="000000" w:themeColor="text1"/>
        </w:rPr>
        <w:t>L</w:t>
      </w:r>
      <w:r w:rsidRPr="00BB51EB">
        <w:rPr>
          <w:rFonts w:cs="Times New Roman"/>
          <w:color w:val="000000" w:themeColor="text1"/>
        </w:rPr>
        <w:t xml:space="preserve">-1 intervening nucleotides </w:t>
      </w:r>
      <w:r w:rsidRPr="00BB51EB">
        <w:rPr>
          <w:rFonts w:cs="Times New Roman"/>
          <w:color w:val="000000" w:themeColor="text1"/>
        </w:rPr>
        <w:fldChar w:fldCharType="begin"/>
      </w:r>
      <w:r w:rsidRPr="00BB51EB">
        <w:rPr>
          <w:rFonts w:cs="Times New Roman"/>
          <w:color w:val="000000" w:themeColor="text1"/>
        </w:rPr>
        <w:instrText xml:space="preserve"> ADDIN ZOTERO_ITEM CSL_CITATION {"citationID":"VJd7snq0","properties":{"formattedCitation":"(Chen et al., 2022)","plainCitation":"(Chen et al., 2022)","noteIndex":0},"citationItems":[{"id":4146,"uris":["http://zotero.org/users/8037828/items/GHYQSKV6"],"itemData":{"id":4146,"type":"article-journal","abstract":"The rapid accumulation of molecular data motivates development of innovative approaches to computationally characterize sequences, structures and functions of biological and chemical molecules in an efficient, accessible and accurate manner. Notwithstanding several computational tools that characterize protein or nucleic acids data, there are no one-stop computational toolkits that comprehensively characterize a wide range of biomolecules. We address this vital need by developing a holistic platform that generates features from sequence and structural data for a diverse collection of molecule types. Our freely available and easy-to-use iFeatureOmega platform generates, analyzes and visualizes 189 representations for biological sequences, structures and ligands. To the best of our knowledge, iFeatureOmega provides the largest scope when directly compared to the current solutions, in terms of the number of feature extraction and analysis approaches and coverage of different molecules. We release three versions of iFeatureOmega including a webserver, command line interface and graphical interface to satisfy needs of experienced bioinformaticians and less computer-savvy biologists and biochemists. With the assistance of iFeatureOmega, users can encode their molecular data into representations that facilitate construction of predictive models and analytical studies. We highlight benefits of iFeatureOmega based on three research applications, demonstrating how it can be used to accelerate and streamline research in bioinformatics, computational biology, and cheminformatics areas. The iFeatureOmega webserver is freely available at http://ifeatureomega.erc.monash.edu and the standalone versions can be downloaded from https://github.com/Superzchen/iFeatureOmega-GUI/ and https://github.com/Superzchen/iFeatureOmega-CLI/.","container-title":"Nucleic Acids Research","DOI":"10.1093/nar/gkac351","ISSN":"0305-1048","issue":"W1","journalAbbreviation":"Nucleic Acids Research","page":"W434-W447","source":"Silverchair","title":"iFeatureOmega: an integrative platform for engineering, visualization and analysis of features from molecular sequences, structural and ligand data sets","title-short":"iFeatureOmega","volume":"50","author":[{"family":"Chen","given":"Zhen"},{"family":"Liu","given":"Xuhan"},{"family":"Zhao","given":"Pei"},{"family":"Li","given":"Chen"},{"family":"Wang","given":"Yanan"},{"family":"Li","given":"Fuyi"},{"family":"Akutsu","given":"Tatsuya"},{"family":"Bain","given":"Chris"},{"family":"Gasser","given":"Robin B"},{"family":"Li","given":"Junzhou"},{"family":"Yang","given":"Zuoren"},{"family":"Gao","given":"Xin"},{"family":"Kurgan","given":"Lukasz"},{"family":"Song","given":"Jiangning"}],"issued":{"date-parts":[["2022",7,5]]},"citation-key":"chenIFeatureOmegaIntegrativePlatform2022"}}],"schema":"https://github.com/citation-style-language/schema/raw/master/csl-citation.json"} </w:instrText>
      </w:r>
      <w:r w:rsidRPr="00BB51EB">
        <w:rPr>
          <w:rFonts w:cs="Times New Roman"/>
          <w:color w:val="000000" w:themeColor="text1"/>
        </w:rPr>
        <w:fldChar w:fldCharType="separate"/>
      </w:r>
      <w:r w:rsidRPr="00BB51EB">
        <w:rPr>
          <w:rFonts w:cs="Times New Roman"/>
          <w:noProof/>
          <w:color w:val="000000" w:themeColor="text1"/>
        </w:rPr>
        <w:t>(Chen et al., 2022)</w:t>
      </w:r>
      <w:r w:rsidRPr="00BB51EB">
        <w:rPr>
          <w:rFonts w:cs="Times New Roman"/>
          <w:color w:val="000000" w:themeColor="text1"/>
        </w:rPr>
        <w:fldChar w:fldCharType="end"/>
      </w:r>
      <w:r w:rsidRPr="00BB51EB">
        <w:rPr>
          <w:rFonts w:cs="Times New Roman"/>
          <w:color w:val="000000" w:themeColor="text1"/>
        </w:rPr>
        <w:t>.</w:t>
      </w:r>
    </w:p>
    <w:p w14:paraId="088AA212" w14:textId="77777777" w:rsidR="00F40012" w:rsidRPr="00BB51EB" w:rsidRDefault="00F40012" w:rsidP="00F40012">
      <w:pPr>
        <w:spacing w:line="480" w:lineRule="auto"/>
        <w:rPr>
          <w:rFonts w:cs="Times New Roman"/>
          <w:color w:val="000000" w:themeColor="text1"/>
        </w:rPr>
      </w:pPr>
    </w:p>
    <w:p w14:paraId="49783A3F" w14:textId="77777777" w:rsidR="00F40012" w:rsidRPr="00BB51EB" w:rsidRDefault="00F40012" w:rsidP="00F40012">
      <w:pPr>
        <w:spacing w:line="480" w:lineRule="auto"/>
        <w:rPr>
          <w:rFonts w:cs="Times New Roman"/>
        </w:rPr>
      </w:pPr>
      <w:r w:rsidRPr="00BB51EB">
        <w:rPr>
          <w:rFonts w:cs="Times New Roman"/>
          <w:color w:val="000000" w:themeColor="text1"/>
        </w:rPr>
        <w:t>1.8 C</w:t>
      </w:r>
      <w:r w:rsidRPr="00BB51EB">
        <w:rPr>
          <w:rFonts w:cs="Times New Roman"/>
        </w:rPr>
        <w:t>omposition-transition-distribution (CTD)</w:t>
      </w:r>
    </w:p>
    <w:p w14:paraId="245F5516" w14:textId="77777777" w:rsidR="00F40012" w:rsidRPr="00BB51EB" w:rsidRDefault="00F40012" w:rsidP="00F40012">
      <w:pPr>
        <w:spacing w:line="480" w:lineRule="auto"/>
        <w:rPr>
          <w:rFonts w:cs="Times New Roman"/>
        </w:rPr>
      </w:pPr>
      <w:r w:rsidRPr="00BB51EB">
        <w:rPr>
          <w:rFonts w:cs="Times New Roman"/>
        </w:rPr>
        <w:t xml:space="preserve">CTD is employed to delineate the global composition of amino acid properties for a given protein or peptide sequence </w:t>
      </w:r>
      <w:r w:rsidRPr="00BB51EB">
        <w:rPr>
          <w:rFonts w:cs="Times New Roman"/>
        </w:rPr>
        <w:fldChar w:fldCharType="begin"/>
      </w:r>
      <w:r w:rsidRPr="00BB51EB">
        <w:rPr>
          <w:rFonts w:cs="Times New Roman"/>
        </w:rPr>
        <w:instrText xml:space="preserve"> ADDIN ZOTERO_ITEM CSL_CITATION {"citationID":"Onadfivv","properties":{"formattedCitation":"(Manavalan et al., 2019)","plainCitation":"(Manavalan et al., 2019)","noteIndex":0},"citationItems":[{"id":3910,"uris":["http://zotero.org/users/8037828/items/MGNMKAF8"],"itemData":{"id":3910,"type":"article-journal","abstract":"Motivation: Cardiovascular disease is the primary cause of death globally accounting for approximately 17.7 million deaths per year. One of the stakes linked with cardiovascular diseases and other complications is hypertension. Naturally derived bioactive peptides with antihypertensive activities serve as promising alternatives to pharmaceutical drugs. So far, there is no comprehensive analysis, assessment of diverse features and implementation of various machine-learning (ML) algorithms applied for antihypertensive peptide (AHTP) model construction.","container-title":"Bioinformatics","DOI":"10.1093/bioinformatics/bty1047","ISSN":"1367-4803, 1460-2059","issue":"16","language":"en","page":"2757-2765","source":"DOI.org (Crossref)","title":"mAHTPred: a sequence-based meta-predictor for improving the prediction of anti-hypertensive peptides using effective feature representation","title-short":"mAHTPred","volume":"35","author":[{"family":"Manavalan","given":"Balachandran"},{"family":"Basith","given":"Shaherin"},{"family":"Shin","given":"Tae Hwan"},{"family":"Wei","given":"Leyi"},{"family":"Lee","given":"Gwang"}],"editor":[{"family":"Hancock","given":"John"}],"issued":{"date-parts":[["2019",8,15]]},"citation-key":"manavalanMAHTPredSequencebasedMetapredictor2019"}}],"schema":"https://github.com/citation-style-language/schema/raw/master/csl-citation.json"} </w:instrText>
      </w:r>
      <w:r w:rsidRPr="00BB51EB">
        <w:rPr>
          <w:rFonts w:cs="Times New Roman"/>
        </w:rPr>
        <w:fldChar w:fldCharType="separate"/>
      </w:r>
      <w:r w:rsidRPr="00BB51EB">
        <w:rPr>
          <w:rFonts w:cs="Times New Roman"/>
          <w:noProof/>
        </w:rPr>
        <w:t>(Manavalan et al., 2019)</w:t>
      </w:r>
      <w:r w:rsidRPr="00BB51EB">
        <w:rPr>
          <w:rFonts w:cs="Times New Roman"/>
        </w:rPr>
        <w:fldChar w:fldCharType="end"/>
      </w:r>
      <w:r w:rsidRPr="00BB51EB">
        <w:rPr>
          <w:rFonts w:cs="Times New Roman"/>
        </w:rPr>
        <w:t xml:space="preserve">. Standard amino acids are divided into thirteen different attributes, including </w:t>
      </w:r>
      <w:r w:rsidRPr="00BB51EB">
        <w:rPr>
          <w:rFonts w:cs="Times New Roman"/>
          <w:color w:val="000000" w:themeColor="text1"/>
        </w:rPr>
        <w:t xml:space="preserve">hydrophobicity, normalized Van der Waals Volume, polarity, polarizability, charge, secondary structures, and solvent accessibility (below Table 1) </w:t>
      </w:r>
      <w:r w:rsidRPr="00BB51EB">
        <w:rPr>
          <w:rFonts w:cs="Times New Roman"/>
          <w:color w:val="000000" w:themeColor="text1"/>
        </w:rPr>
        <w:fldChar w:fldCharType="begin"/>
      </w:r>
      <w:r w:rsidRPr="00BB51EB">
        <w:rPr>
          <w:rFonts w:cs="Times New Roman"/>
          <w:color w:val="000000" w:themeColor="text1"/>
        </w:rPr>
        <w:instrText xml:space="preserve"> ADDIN ZOTERO_ITEM CSL_CITATION {"citationID":"QtVX5hUI","properties":{"formattedCitation":"(Chen et al., 2022)","plainCitation":"(Chen et al., 2022)","noteIndex":0},"citationItems":[{"id":4146,"uris":["http://zotero.org/users/8037828/items/GHYQSKV6"],"itemData":{"id":4146,"type":"article-journal","abstract":"The rapid accumulation of molecular data motivates development of innovative approaches to computationally characterize sequences, structures and functions of biological and chemical molecules in an efficient, accessible and accurate manner. Notwithstanding several computational tools that characterize protein or nucleic acids data, there are no one-stop computational toolkits that comprehensively characterize a wide range of biomolecules. We address this vital need by developing a holistic platform that generates features from sequence and structural data for a diverse collection of molecule types. Our freely available and easy-to-use iFeatureOmega platform generates, analyzes and visualizes 189 representations for biological sequences, structures and ligands. To the best of our knowledge, iFeatureOmega provides the largest scope when directly compared to the current solutions, in terms of the number of feature extraction and analysis approaches and coverage of different molecules. We release three versions of iFeatureOmega including a webserver, command line interface and graphical interface to satisfy needs of experienced bioinformaticians and less computer-savvy biologists and biochemists. With the assistance of iFeatureOmega, users can encode their molecular data into representations that facilitate construction of predictive models and analytical studies. We highlight benefits of iFeatureOmega based on three research applications, demonstrating how it can be used to accelerate and streamline research in bioinformatics, computational biology, and cheminformatics areas. The iFeatureOmega webserver is freely available at http://ifeatureomega.erc.monash.edu and the standalone versions can be downloaded from https://github.com/Superzchen/iFeatureOmega-GUI/ and https://github.com/Superzchen/iFeatureOmega-CLI/.","container-title":"Nucleic Acids Research","DOI":"10.1093/nar/gkac351","ISSN":"0305-1048","issue":"W1","journalAbbreviation":"Nucleic Acids Research","page":"W434-W447","source":"Silverchair","title":"iFeatureOmega: an integrative platform for engineering, visualization and analysis of features from molecular sequences, structural and ligand data sets","title-short":"iFeatureOmega","volume":"50","author":[{"family":"Chen","given":"Zhen"},{"family":"Liu","given":"Xuhan"},{"family":"Zhao","given":"Pei"},{"family":"Li","given":"Chen"},{"family":"Wang","given":"Yanan"},{"family":"Li","given":"Fuyi"},{"family":"Akutsu","given":"Tatsuya"},{"family":"Bain","given":"Chris"},{"family":"Gasser","given":"Robin B"},{"family":"Li","given":"Junzhou"},{"family":"Yang","given":"Zuoren"},{"family":"Gao","given":"Xin"},{"family":"Kurgan","given":"Lukasz"},{"family":"Song","given":"Jiangning"}],"issued":{"date-parts":[["2022",7,5]]},"citation-key":"chenIFeatureOmegaIntegrativePlatform2022"}}],"schema":"https://github.com/citation-style-language/schema/raw/master/csl-citation.json"} </w:instrText>
      </w:r>
      <w:r w:rsidRPr="00BB51EB">
        <w:rPr>
          <w:rFonts w:cs="Times New Roman"/>
          <w:color w:val="000000" w:themeColor="text1"/>
        </w:rPr>
        <w:fldChar w:fldCharType="separate"/>
      </w:r>
      <w:r w:rsidRPr="00BB51EB">
        <w:rPr>
          <w:rFonts w:cs="Times New Roman"/>
          <w:noProof/>
          <w:color w:val="000000" w:themeColor="text1"/>
        </w:rPr>
        <w:t>(Chen et al., 2022)</w:t>
      </w:r>
      <w:r w:rsidRPr="00BB51EB">
        <w:rPr>
          <w:rFonts w:cs="Times New Roman"/>
          <w:color w:val="000000" w:themeColor="text1"/>
        </w:rPr>
        <w:fldChar w:fldCharType="end"/>
      </w:r>
      <w:r w:rsidRPr="00BB51EB">
        <w:rPr>
          <w:rFonts w:cs="Times New Roman"/>
        </w:rPr>
        <w:t>.</w:t>
      </w:r>
    </w:p>
    <w:p w14:paraId="784FEA6E" w14:textId="77777777" w:rsidR="00F40012" w:rsidRPr="00BB51EB" w:rsidRDefault="00F40012" w:rsidP="00F40012">
      <w:pPr>
        <w:keepNext/>
        <w:keepLines/>
        <w:spacing w:before="120" w:after="120"/>
        <w:jc w:val="center"/>
        <w:rPr>
          <w:rFonts w:cs="Times New Roman"/>
          <w:color w:val="000000" w:themeColor="text1"/>
        </w:rPr>
      </w:pPr>
      <w:r w:rsidRPr="00BB51EB">
        <w:rPr>
          <w:rFonts w:cs="Times New Roman"/>
          <w:b/>
          <w:color w:val="000000" w:themeColor="text1"/>
        </w:rPr>
        <w:lastRenderedPageBreak/>
        <w:t>Table 1.</w:t>
      </w:r>
      <w:r w:rsidRPr="00BB51EB">
        <w:rPr>
          <w:rFonts w:cs="Times New Roman"/>
          <w:color w:val="000000" w:themeColor="text1"/>
        </w:rPr>
        <w:t xml:space="preserve"> Amino acid physicochemical attributes and the division of the amino acids into three groups according to each attribute.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9"/>
        <w:gridCol w:w="1809"/>
        <w:gridCol w:w="2668"/>
        <w:gridCol w:w="1784"/>
      </w:tblGrid>
      <w:tr w:rsidR="00F40012" w:rsidRPr="00BB51EB" w14:paraId="70AAE8C8" w14:textId="77777777" w:rsidTr="0074465F">
        <w:trPr>
          <w:jc w:val="center"/>
        </w:trPr>
        <w:tc>
          <w:tcPr>
            <w:tcW w:w="0" w:type="auto"/>
            <w:tcBorders>
              <w:top w:val="single" w:sz="4" w:space="0" w:color="auto"/>
              <w:bottom w:val="single" w:sz="4" w:space="0" w:color="auto"/>
            </w:tcBorders>
          </w:tcPr>
          <w:p w14:paraId="2CE17C11" w14:textId="77777777" w:rsidR="00F40012" w:rsidRPr="00BB51EB" w:rsidRDefault="00F40012" w:rsidP="0074465F">
            <w:pPr>
              <w:keepNext/>
              <w:keepLines/>
              <w:jc w:val="center"/>
              <w:rPr>
                <w:rFonts w:ascii="Times New Roman" w:hAnsi="Times New Roman" w:cs="Times New Roman"/>
                <w:b/>
                <w:bCs/>
                <w:color w:val="000000" w:themeColor="text1"/>
                <w:sz w:val="24"/>
                <w:szCs w:val="24"/>
              </w:rPr>
            </w:pPr>
            <w:r w:rsidRPr="00BB51EB">
              <w:rPr>
                <w:rFonts w:ascii="Times New Roman" w:hAnsi="Times New Roman" w:cs="Times New Roman"/>
                <w:b/>
                <w:bCs/>
                <w:color w:val="000000" w:themeColor="text1"/>
                <w:sz w:val="24"/>
                <w:szCs w:val="24"/>
              </w:rPr>
              <w:t>Attribute</w:t>
            </w:r>
          </w:p>
        </w:tc>
        <w:tc>
          <w:tcPr>
            <w:tcW w:w="0" w:type="auto"/>
            <w:gridSpan w:val="3"/>
            <w:tcBorders>
              <w:top w:val="single" w:sz="4" w:space="0" w:color="auto"/>
              <w:bottom w:val="single" w:sz="4" w:space="0" w:color="auto"/>
            </w:tcBorders>
          </w:tcPr>
          <w:p w14:paraId="616166A0" w14:textId="77777777" w:rsidR="00F40012" w:rsidRPr="00BB51EB" w:rsidRDefault="00F40012" w:rsidP="0074465F">
            <w:pPr>
              <w:keepNext/>
              <w:keepLines/>
              <w:jc w:val="center"/>
              <w:rPr>
                <w:rFonts w:ascii="Times New Roman" w:hAnsi="Times New Roman" w:cs="Times New Roman"/>
                <w:b/>
                <w:bCs/>
                <w:color w:val="000000" w:themeColor="text1"/>
                <w:sz w:val="24"/>
                <w:szCs w:val="24"/>
              </w:rPr>
            </w:pPr>
            <w:r w:rsidRPr="00BB51EB">
              <w:rPr>
                <w:rFonts w:ascii="Times New Roman" w:hAnsi="Times New Roman" w:cs="Times New Roman"/>
                <w:b/>
                <w:bCs/>
                <w:color w:val="000000" w:themeColor="text1"/>
                <w:sz w:val="24"/>
                <w:szCs w:val="24"/>
              </w:rPr>
              <w:t>Division</w:t>
            </w:r>
          </w:p>
        </w:tc>
      </w:tr>
      <w:tr w:rsidR="00F40012" w:rsidRPr="00BB51EB" w14:paraId="3608A35D" w14:textId="77777777" w:rsidTr="0074465F">
        <w:trPr>
          <w:jc w:val="center"/>
        </w:trPr>
        <w:tc>
          <w:tcPr>
            <w:tcW w:w="0" w:type="auto"/>
            <w:tcBorders>
              <w:top w:val="single" w:sz="4" w:space="0" w:color="auto"/>
              <w:bottom w:val="nil"/>
            </w:tcBorders>
          </w:tcPr>
          <w:p w14:paraId="67B126A2"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Hydrophobicity_PRAM900101</w:t>
            </w:r>
          </w:p>
        </w:tc>
        <w:tc>
          <w:tcPr>
            <w:tcW w:w="0" w:type="auto"/>
            <w:tcBorders>
              <w:top w:val="single" w:sz="4" w:space="0" w:color="auto"/>
              <w:bottom w:val="nil"/>
            </w:tcBorders>
          </w:tcPr>
          <w:p w14:paraId="1223F6F0"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 RKEDQN</w:t>
            </w:r>
          </w:p>
        </w:tc>
        <w:tc>
          <w:tcPr>
            <w:tcW w:w="0" w:type="auto"/>
            <w:tcBorders>
              <w:top w:val="single" w:sz="4" w:space="0" w:color="auto"/>
              <w:bottom w:val="nil"/>
            </w:tcBorders>
          </w:tcPr>
          <w:p w14:paraId="08C4FFC0"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Neutral: GASTPHY</w:t>
            </w:r>
          </w:p>
        </w:tc>
        <w:tc>
          <w:tcPr>
            <w:tcW w:w="0" w:type="auto"/>
            <w:tcBorders>
              <w:top w:val="single" w:sz="4" w:space="0" w:color="auto"/>
              <w:bottom w:val="nil"/>
            </w:tcBorders>
          </w:tcPr>
          <w:p w14:paraId="089422D3"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 CLVIMFW</w:t>
            </w:r>
          </w:p>
        </w:tc>
      </w:tr>
      <w:tr w:rsidR="00F40012" w:rsidRPr="00BB51EB" w14:paraId="0A7CF781" w14:textId="77777777" w:rsidTr="0074465F">
        <w:trPr>
          <w:jc w:val="center"/>
        </w:trPr>
        <w:tc>
          <w:tcPr>
            <w:tcW w:w="0" w:type="auto"/>
            <w:tcBorders>
              <w:top w:val="nil"/>
              <w:bottom w:val="nil"/>
            </w:tcBorders>
          </w:tcPr>
          <w:p w14:paraId="046FEECC"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Hydrophobicity_ARGP820101</w:t>
            </w:r>
          </w:p>
        </w:tc>
        <w:tc>
          <w:tcPr>
            <w:tcW w:w="0" w:type="auto"/>
            <w:tcBorders>
              <w:top w:val="nil"/>
              <w:bottom w:val="nil"/>
            </w:tcBorders>
          </w:tcPr>
          <w:p w14:paraId="5528AA93"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 QSTNGDE</w:t>
            </w:r>
          </w:p>
        </w:tc>
        <w:tc>
          <w:tcPr>
            <w:tcW w:w="0" w:type="auto"/>
            <w:tcBorders>
              <w:top w:val="nil"/>
              <w:bottom w:val="nil"/>
            </w:tcBorders>
          </w:tcPr>
          <w:p w14:paraId="1424B886"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Neutral: RAHCKMV</w:t>
            </w:r>
          </w:p>
        </w:tc>
        <w:tc>
          <w:tcPr>
            <w:tcW w:w="0" w:type="auto"/>
            <w:tcBorders>
              <w:top w:val="nil"/>
              <w:bottom w:val="nil"/>
            </w:tcBorders>
          </w:tcPr>
          <w:p w14:paraId="5FC7AE77"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 LYPFIW</w:t>
            </w:r>
          </w:p>
        </w:tc>
      </w:tr>
      <w:tr w:rsidR="00F40012" w:rsidRPr="00BB51EB" w14:paraId="0FFBFF16" w14:textId="77777777" w:rsidTr="0074465F">
        <w:trPr>
          <w:jc w:val="center"/>
        </w:trPr>
        <w:tc>
          <w:tcPr>
            <w:tcW w:w="0" w:type="auto"/>
            <w:tcBorders>
              <w:top w:val="nil"/>
              <w:bottom w:val="nil"/>
            </w:tcBorders>
          </w:tcPr>
          <w:p w14:paraId="772FD565"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Hydrophobicity_ZIMJ680101</w:t>
            </w:r>
          </w:p>
        </w:tc>
        <w:tc>
          <w:tcPr>
            <w:tcW w:w="0" w:type="auto"/>
            <w:tcBorders>
              <w:top w:val="nil"/>
              <w:bottom w:val="nil"/>
            </w:tcBorders>
          </w:tcPr>
          <w:p w14:paraId="011A731D"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 QNGSWTDERA</w:t>
            </w:r>
          </w:p>
        </w:tc>
        <w:tc>
          <w:tcPr>
            <w:tcW w:w="0" w:type="auto"/>
            <w:tcBorders>
              <w:top w:val="nil"/>
              <w:bottom w:val="nil"/>
            </w:tcBorders>
          </w:tcPr>
          <w:p w14:paraId="6EBED6E8"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Neutral: HMCKV</w:t>
            </w:r>
          </w:p>
        </w:tc>
        <w:tc>
          <w:tcPr>
            <w:tcW w:w="0" w:type="auto"/>
            <w:tcBorders>
              <w:top w:val="nil"/>
              <w:bottom w:val="nil"/>
            </w:tcBorders>
          </w:tcPr>
          <w:p w14:paraId="2A47650A"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 LPFYI</w:t>
            </w:r>
          </w:p>
        </w:tc>
      </w:tr>
      <w:tr w:rsidR="00F40012" w:rsidRPr="00BB51EB" w14:paraId="1BE8C93F" w14:textId="77777777" w:rsidTr="0074465F">
        <w:trPr>
          <w:jc w:val="center"/>
        </w:trPr>
        <w:tc>
          <w:tcPr>
            <w:tcW w:w="0" w:type="auto"/>
            <w:tcBorders>
              <w:top w:val="nil"/>
              <w:bottom w:val="nil"/>
            </w:tcBorders>
          </w:tcPr>
          <w:p w14:paraId="5175A949"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Hydrophobicity_PONP930101</w:t>
            </w:r>
          </w:p>
        </w:tc>
        <w:tc>
          <w:tcPr>
            <w:tcW w:w="0" w:type="auto"/>
            <w:tcBorders>
              <w:top w:val="nil"/>
              <w:bottom w:val="nil"/>
            </w:tcBorders>
          </w:tcPr>
          <w:p w14:paraId="29EC3B80"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 KPDESNQT</w:t>
            </w:r>
          </w:p>
        </w:tc>
        <w:tc>
          <w:tcPr>
            <w:tcW w:w="0" w:type="auto"/>
            <w:tcBorders>
              <w:top w:val="nil"/>
              <w:bottom w:val="nil"/>
            </w:tcBorders>
          </w:tcPr>
          <w:p w14:paraId="66B35924"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Neutral: GRHA</w:t>
            </w:r>
          </w:p>
        </w:tc>
        <w:tc>
          <w:tcPr>
            <w:tcW w:w="0" w:type="auto"/>
            <w:tcBorders>
              <w:top w:val="nil"/>
              <w:bottom w:val="nil"/>
            </w:tcBorders>
          </w:tcPr>
          <w:p w14:paraId="096FAA66"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 YMFWLCVI</w:t>
            </w:r>
          </w:p>
        </w:tc>
      </w:tr>
      <w:tr w:rsidR="00F40012" w:rsidRPr="00BB51EB" w14:paraId="1952787B" w14:textId="77777777" w:rsidTr="0074465F">
        <w:trPr>
          <w:jc w:val="center"/>
        </w:trPr>
        <w:tc>
          <w:tcPr>
            <w:tcW w:w="0" w:type="auto"/>
            <w:tcBorders>
              <w:top w:val="nil"/>
              <w:bottom w:val="nil"/>
            </w:tcBorders>
          </w:tcPr>
          <w:p w14:paraId="4C7D4696"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Hydrophobicity_CASG920101</w:t>
            </w:r>
          </w:p>
        </w:tc>
        <w:tc>
          <w:tcPr>
            <w:tcW w:w="0" w:type="auto"/>
            <w:tcBorders>
              <w:top w:val="nil"/>
              <w:bottom w:val="nil"/>
            </w:tcBorders>
          </w:tcPr>
          <w:p w14:paraId="7D09B404"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 KDEQPSRNTG</w:t>
            </w:r>
          </w:p>
        </w:tc>
        <w:tc>
          <w:tcPr>
            <w:tcW w:w="0" w:type="auto"/>
            <w:tcBorders>
              <w:top w:val="nil"/>
              <w:bottom w:val="nil"/>
            </w:tcBorders>
          </w:tcPr>
          <w:p w14:paraId="784C0140"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Neutral: AHYMLV</w:t>
            </w:r>
          </w:p>
        </w:tc>
        <w:tc>
          <w:tcPr>
            <w:tcW w:w="0" w:type="auto"/>
            <w:tcBorders>
              <w:top w:val="nil"/>
              <w:bottom w:val="nil"/>
            </w:tcBorders>
          </w:tcPr>
          <w:p w14:paraId="16D8E193"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 FIWC</w:t>
            </w:r>
          </w:p>
        </w:tc>
      </w:tr>
      <w:tr w:rsidR="00F40012" w:rsidRPr="00BB51EB" w14:paraId="3DDE438F" w14:textId="77777777" w:rsidTr="0074465F">
        <w:trPr>
          <w:jc w:val="center"/>
        </w:trPr>
        <w:tc>
          <w:tcPr>
            <w:tcW w:w="0" w:type="auto"/>
            <w:tcBorders>
              <w:top w:val="nil"/>
              <w:bottom w:val="nil"/>
            </w:tcBorders>
          </w:tcPr>
          <w:p w14:paraId="0BE4C361"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Hydrophobicity_ENGD860101</w:t>
            </w:r>
          </w:p>
        </w:tc>
        <w:tc>
          <w:tcPr>
            <w:tcW w:w="0" w:type="auto"/>
            <w:tcBorders>
              <w:top w:val="nil"/>
              <w:bottom w:val="nil"/>
            </w:tcBorders>
          </w:tcPr>
          <w:p w14:paraId="622818A8"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 RDKENQHYP</w:t>
            </w:r>
          </w:p>
        </w:tc>
        <w:tc>
          <w:tcPr>
            <w:tcW w:w="0" w:type="auto"/>
            <w:tcBorders>
              <w:top w:val="nil"/>
              <w:bottom w:val="nil"/>
            </w:tcBorders>
          </w:tcPr>
          <w:p w14:paraId="3746DC9E"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Neutral :SGTAW</w:t>
            </w:r>
          </w:p>
        </w:tc>
        <w:tc>
          <w:tcPr>
            <w:tcW w:w="0" w:type="auto"/>
            <w:tcBorders>
              <w:top w:val="nil"/>
              <w:bottom w:val="nil"/>
            </w:tcBorders>
          </w:tcPr>
          <w:p w14:paraId="348A6F58"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 CVLIMF</w:t>
            </w:r>
          </w:p>
        </w:tc>
      </w:tr>
      <w:tr w:rsidR="00F40012" w:rsidRPr="00BB51EB" w14:paraId="4573D12C" w14:textId="77777777" w:rsidTr="0074465F">
        <w:trPr>
          <w:jc w:val="center"/>
        </w:trPr>
        <w:tc>
          <w:tcPr>
            <w:tcW w:w="0" w:type="auto"/>
            <w:tcBorders>
              <w:top w:val="nil"/>
              <w:bottom w:val="nil"/>
            </w:tcBorders>
          </w:tcPr>
          <w:p w14:paraId="12D28E75"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Hydrophobicity_FASG890101</w:t>
            </w:r>
          </w:p>
        </w:tc>
        <w:tc>
          <w:tcPr>
            <w:tcW w:w="0" w:type="auto"/>
            <w:tcBorders>
              <w:top w:val="nil"/>
              <w:bottom w:val="nil"/>
            </w:tcBorders>
          </w:tcPr>
          <w:p w14:paraId="32AFD940"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 KERSQD</w:t>
            </w:r>
          </w:p>
        </w:tc>
        <w:tc>
          <w:tcPr>
            <w:tcW w:w="0" w:type="auto"/>
            <w:tcBorders>
              <w:top w:val="nil"/>
              <w:bottom w:val="nil"/>
            </w:tcBorders>
          </w:tcPr>
          <w:p w14:paraId="1F2E2F50"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Neutral: NTPG</w:t>
            </w:r>
          </w:p>
        </w:tc>
        <w:tc>
          <w:tcPr>
            <w:tcW w:w="0" w:type="auto"/>
            <w:tcBorders>
              <w:top w:val="nil"/>
              <w:bottom w:val="nil"/>
            </w:tcBorders>
          </w:tcPr>
          <w:p w14:paraId="49D9D958"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Hydrophobicity: AYHWVMFLIC</w:t>
            </w:r>
          </w:p>
        </w:tc>
      </w:tr>
      <w:tr w:rsidR="00F40012" w:rsidRPr="00BB51EB" w14:paraId="14D42D68" w14:textId="77777777" w:rsidTr="0074465F">
        <w:trPr>
          <w:jc w:val="center"/>
        </w:trPr>
        <w:tc>
          <w:tcPr>
            <w:tcW w:w="0" w:type="auto"/>
            <w:tcBorders>
              <w:top w:val="nil"/>
            </w:tcBorders>
          </w:tcPr>
          <w:p w14:paraId="072C546A"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Normalized van der Waals volume</w:t>
            </w:r>
          </w:p>
        </w:tc>
        <w:tc>
          <w:tcPr>
            <w:tcW w:w="0" w:type="auto"/>
            <w:tcBorders>
              <w:top w:val="nil"/>
            </w:tcBorders>
          </w:tcPr>
          <w:p w14:paraId="4AAF084D"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Volume range: 0-2.78</w:t>
            </w:r>
          </w:p>
          <w:p w14:paraId="37DE48BE"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GASTPD</w:t>
            </w:r>
          </w:p>
        </w:tc>
        <w:tc>
          <w:tcPr>
            <w:tcW w:w="0" w:type="auto"/>
            <w:tcBorders>
              <w:top w:val="nil"/>
            </w:tcBorders>
          </w:tcPr>
          <w:p w14:paraId="65996189"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Volume range: 2.95-94.0</w:t>
            </w:r>
          </w:p>
          <w:p w14:paraId="483FADAB"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NVEQIL</w:t>
            </w:r>
          </w:p>
        </w:tc>
        <w:tc>
          <w:tcPr>
            <w:tcW w:w="0" w:type="auto"/>
            <w:tcBorders>
              <w:top w:val="nil"/>
            </w:tcBorders>
          </w:tcPr>
          <w:p w14:paraId="4DF65E59"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Volume range: 4.03-8.08</w:t>
            </w:r>
          </w:p>
          <w:p w14:paraId="7F8E6561"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MHKFRYW</w:t>
            </w:r>
          </w:p>
        </w:tc>
      </w:tr>
      <w:tr w:rsidR="00F40012" w:rsidRPr="00BB51EB" w14:paraId="55075997" w14:textId="77777777" w:rsidTr="0074465F">
        <w:trPr>
          <w:jc w:val="center"/>
        </w:trPr>
        <w:tc>
          <w:tcPr>
            <w:tcW w:w="0" w:type="auto"/>
          </w:tcPr>
          <w:p w14:paraId="2ADEA94D"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Polarity</w:t>
            </w:r>
          </w:p>
        </w:tc>
        <w:tc>
          <w:tcPr>
            <w:tcW w:w="0" w:type="auto"/>
          </w:tcPr>
          <w:p w14:paraId="3B11C37E"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Polarity value: 4.9-6.2</w:t>
            </w:r>
          </w:p>
          <w:p w14:paraId="33858E6B"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LIFWCMVY</w:t>
            </w:r>
          </w:p>
        </w:tc>
        <w:tc>
          <w:tcPr>
            <w:tcW w:w="0" w:type="auto"/>
          </w:tcPr>
          <w:p w14:paraId="25B569F4"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Polarity value: 8.0-9.2</w:t>
            </w:r>
          </w:p>
          <w:p w14:paraId="3BAE6944"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PATGS</w:t>
            </w:r>
          </w:p>
        </w:tc>
        <w:tc>
          <w:tcPr>
            <w:tcW w:w="0" w:type="auto"/>
          </w:tcPr>
          <w:p w14:paraId="2D093550"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Polarity value: 10.4-13.0</w:t>
            </w:r>
          </w:p>
          <w:p w14:paraId="554F0F35"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HQRKNED</w:t>
            </w:r>
          </w:p>
        </w:tc>
      </w:tr>
      <w:tr w:rsidR="00F40012" w:rsidRPr="00BB51EB" w14:paraId="6F828152" w14:textId="77777777" w:rsidTr="0074465F">
        <w:trPr>
          <w:jc w:val="center"/>
        </w:trPr>
        <w:tc>
          <w:tcPr>
            <w:tcW w:w="0" w:type="auto"/>
          </w:tcPr>
          <w:p w14:paraId="1604E0EE"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Polarizability</w:t>
            </w:r>
          </w:p>
        </w:tc>
        <w:tc>
          <w:tcPr>
            <w:tcW w:w="0" w:type="auto"/>
          </w:tcPr>
          <w:p w14:paraId="5435D397"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Polarizability value: 0-1.08</w:t>
            </w:r>
          </w:p>
          <w:p w14:paraId="30032C7C"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GASDT</w:t>
            </w:r>
          </w:p>
        </w:tc>
        <w:tc>
          <w:tcPr>
            <w:tcW w:w="0" w:type="auto"/>
          </w:tcPr>
          <w:p w14:paraId="04CE68B8"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Polarizability value: 0.128-120.186</w:t>
            </w:r>
          </w:p>
          <w:p w14:paraId="7D93FBE2"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GPNVEQIL</w:t>
            </w:r>
          </w:p>
        </w:tc>
        <w:tc>
          <w:tcPr>
            <w:tcW w:w="0" w:type="auto"/>
          </w:tcPr>
          <w:p w14:paraId="31331147"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Polarizability value: 0.219-0.409</w:t>
            </w:r>
          </w:p>
          <w:p w14:paraId="0F2A9428"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KMHFRYW</w:t>
            </w:r>
          </w:p>
        </w:tc>
      </w:tr>
      <w:tr w:rsidR="00F40012" w:rsidRPr="00BB51EB" w14:paraId="450CDDD2" w14:textId="77777777" w:rsidTr="0074465F">
        <w:trPr>
          <w:jc w:val="center"/>
        </w:trPr>
        <w:tc>
          <w:tcPr>
            <w:tcW w:w="0" w:type="auto"/>
          </w:tcPr>
          <w:p w14:paraId="7CA808DE"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Charge</w:t>
            </w:r>
          </w:p>
        </w:tc>
        <w:tc>
          <w:tcPr>
            <w:tcW w:w="0" w:type="auto"/>
          </w:tcPr>
          <w:p w14:paraId="55692402"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Positive: KR</w:t>
            </w:r>
          </w:p>
        </w:tc>
        <w:tc>
          <w:tcPr>
            <w:tcW w:w="0" w:type="auto"/>
          </w:tcPr>
          <w:p w14:paraId="3D974834"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Neutral: ANCQGHILMFPSTWYV</w:t>
            </w:r>
          </w:p>
        </w:tc>
        <w:tc>
          <w:tcPr>
            <w:tcW w:w="0" w:type="auto"/>
          </w:tcPr>
          <w:p w14:paraId="6FB9C6CF"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Negative: DE</w:t>
            </w:r>
          </w:p>
        </w:tc>
      </w:tr>
      <w:tr w:rsidR="00F40012" w:rsidRPr="00BB51EB" w14:paraId="77B081AC" w14:textId="77777777" w:rsidTr="0074465F">
        <w:trPr>
          <w:jc w:val="center"/>
        </w:trPr>
        <w:tc>
          <w:tcPr>
            <w:tcW w:w="0" w:type="auto"/>
          </w:tcPr>
          <w:p w14:paraId="19A6AD6A"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Secondary structure</w:t>
            </w:r>
          </w:p>
        </w:tc>
        <w:tc>
          <w:tcPr>
            <w:tcW w:w="0" w:type="auto"/>
          </w:tcPr>
          <w:p w14:paraId="2A57731B"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Helix: EALMQKRH</w:t>
            </w:r>
          </w:p>
        </w:tc>
        <w:tc>
          <w:tcPr>
            <w:tcW w:w="0" w:type="auto"/>
          </w:tcPr>
          <w:p w14:paraId="77E7A41A"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Strand: VIYCWFT</w:t>
            </w:r>
          </w:p>
        </w:tc>
        <w:tc>
          <w:tcPr>
            <w:tcW w:w="0" w:type="auto"/>
          </w:tcPr>
          <w:p w14:paraId="0C8F7CB9"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Coil: GNPSD</w:t>
            </w:r>
          </w:p>
        </w:tc>
      </w:tr>
      <w:tr w:rsidR="00F40012" w:rsidRPr="00BB51EB" w14:paraId="30D63032" w14:textId="77777777" w:rsidTr="0074465F">
        <w:trPr>
          <w:jc w:val="center"/>
        </w:trPr>
        <w:tc>
          <w:tcPr>
            <w:tcW w:w="0" w:type="auto"/>
          </w:tcPr>
          <w:p w14:paraId="496B93BA"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Solvent accessibility</w:t>
            </w:r>
          </w:p>
        </w:tc>
        <w:tc>
          <w:tcPr>
            <w:tcW w:w="0" w:type="auto"/>
          </w:tcPr>
          <w:p w14:paraId="3F0F244E"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Buried: ALFCGIVW</w:t>
            </w:r>
          </w:p>
        </w:tc>
        <w:tc>
          <w:tcPr>
            <w:tcW w:w="0" w:type="auto"/>
          </w:tcPr>
          <w:p w14:paraId="42F0A717"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Exposed: PKQEND</w:t>
            </w:r>
          </w:p>
        </w:tc>
        <w:tc>
          <w:tcPr>
            <w:tcW w:w="0" w:type="auto"/>
          </w:tcPr>
          <w:p w14:paraId="254706A2" w14:textId="77777777" w:rsidR="00F40012" w:rsidRPr="00BB51EB" w:rsidRDefault="00F40012" w:rsidP="0074465F">
            <w:pPr>
              <w:keepNext/>
              <w:keepLines/>
              <w:rPr>
                <w:rFonts w:ascii="Times New Roman" w:hAnsi="Times New Roman" w:cs="Times New Roman"/>
                <w:color w:val="000000" w:themeColor="text1"/>
                <w:sz w:val="24"/>
                <w:szCs w:val="24"/>
              </w:rPr>
            </w:pPr>
            <w:r w:rsidRPr="00BB51EB">
              <w:rPr>
                <w:rFonts w:ascii="Times New Roman" w:hAnsi="Times New Roman" w:cs="Times New Roman"/>
                <w:color w:val="000000" w:themeColor="text1"/>
                <w:sz w:val="24"/>
                <w:szCs w:val="24"/>
              </w:rPr>
              <w:t>Intermediate: MPSTHY</w:t>
            </w:r>
          </w:p>
        </w:tc>
      </w:tr>
    </w:tbl>
    <w:p w14:paraId="2403C29C" w14:textId="77777777" w:rsidR="00F40012" w:rsidRPr="00BB51EB" w:rsidRDefault="00F40012" w:rsidP="00F40012">
      <w:pPr>
        <w:spacing w:line="480" w:lineRule="auto"/>
        <w:rPr>
          <w:rFonts w:cs="Times New Roman"/>
        </w:rPr>
      </w:pPr>
      <w:r w:rsidRPr="00BB51EB">
        <w:rPr>
          <w:rFonts w:cs="Times New Roman"/>
        </w:rPr>
        <w:t>Note: the table information is from the supplementary of the study of Chen et al., 2022.</w:t>
      </w:r>
    </w:p>
    <w:p w14:paraId="3F4DA959" w14:textId="77777777" w:rsidR="00F40012" w:rsidRPr="00BB51EB" w:rsidRDefault="00F40012" w:rsidP="00F40012">
      <w:pPr>
        <w:spacing w:line="480" w:lineRule="auto"/>
        <w:rPr>
          <w:rFonts w:cs="Times New Roman"/>
        </w:rPr>
      </w:pPr>
      <w:r w:rsidRPr="00BB51EB">
        <w:rPr>
          <w:rFonts w:cs="Times New Roman"/>
        </w:rPr>
        <w:t xml:space="preserve">1.8.1 </w:t>
      </w:r>
      <w:r w:rsidRPr="00BB51EB">
        <w:rPr>
          <w:rFonts w:cs="Times New Roman"/>
          <w:color w:val="000000" w:themeColor="text1"/>
        </w:rPr>
        <w:t>C</w:t>
      </w:r>
      <w:r w:rsidRPr="00BB51EB">
        <w:rPr>
          <w:rFonts w:cs="Times New Roman"/>
        </w:rPr>
        <w:t>omposition-transition-distribution composition (CTDC)</w:t>
      </w:r>
    </w:p>
    <w:p w14:paraId="21668A89" w14:textId="77777777" w:rsidR="00F40012" w:rsidRPr="00BB51EB" w:rsidRDefault="00F40012" w:rsidP="00F40012">
      <w:pPr>
        <w:spacing w:line="480" w:lineRule="auto"/>
        <w:rPr>
          <w:rFonts w:cs="Times New Roman"/>
        </w:rPr>
      </w:pPr>
      <w:r w:rsidRPr="00BB51EB">
        <w:rPr>
          <w:rFonts w:cs="Times New Roman"/>
        </w:rPr>
        <w:t xml:space="preserve">CTDC computes the percentage composition values of the above thirteen different attributes from a given peptide sequence, which will generate a fixed length of 39 vectors </w:t>
      </w:r>
      <w:r w:rsidRPr="00BB51EB">
        <w:rPr>
          <w:rFonts w:cs="Times New Roman"/>
        </w:rPr>
        <w:fldChar w:fldCharType="begin"/>
      </w:r>
      <w:r w:rsidRPr="00BB51EB">
        <w:rPr>
          <w:rFonts w:cs="Times New Roman"/>
        </w:rPr>
        <w:instrText xml:space="preserve"> ADDIN ZOTERO_ITEM CSL_CITATION {"citationID":"pRJPy2IW","properties":{"formattedCitation":"(Chen et al., 2022)","plainCitation":"(Chen et al., 2022)","noteIndex":0},"citationItems":[{"id":4146,"uris":["http://zotero.org/users/8037828/items/GHYQSKV6"],"itemData":{"id":4146,"type":"article-journal","abstract":"The rapid accumulation of molecular data motivates development of innovative approaches to computationally characterize sequences, structures and functions of biological and chemical molecules in an efficient, accessible and accurate manner. Notwithstanding several computational tools that characterize protein or nucleic acids data, there are no one-stop computational toolkits that comprehensively characterize a wide range of biomolecules. We address this vital need by developing a holistic platform that generates features from sequence and structural data for a diverse collection of molecule types. Our freely available and easy-to-use iFeatureOmega platform generates, analyzes and visualizes 189 representations for biological sequences, structures and ligands. To the best of our knowledge, iFeatureOmega provides the largest scope when directly compared to the current solutions, in terms of the number of feature extraction and analysis approaches and coverage of different molecules. We release three versions of iFeatureOmega including a webserver, command line interface and graphical interface to satisfy needs of experienced bioinformaticians and less computer-savvy biologists and biochemists. With the assistance of iFeatureOmega, users can encode their molecular data into representations that facilitate construction of predictive models and analytical studies. We highlight benefits of iFeatureOmega based on three research applications, demonstrating how it can be used to accelerate and streamline research in bioinformatics, computational biology, and cheminformatics areas. The iFeatureOmega webserver is freely available at http://ifeatureomega.erc.monash.edu and the standalone versions can be downloaded from https://github.com/Superzchen/iFeatureOmega-GUI/ and https://github.com/Superzchen/iFeatureOmega-CLI/.","container-title":"Nucleic Acids Research","DOI":"10.1093/nar/gkac351","ISSN":"0305-1048","issue":"W1","journalAbbreviation":"Nucleic Acids Research","page":"W434-W447","source":"Silverchair","title":"iFeatureOmega: an integrative platform for engineering, visualization and analysis of features from molecular sequences, structural and ligand data sets","title-short":"iFeatureOmega","volume":"50","author":[{"family":"Chen","given":"Zhen"},{"family":"Liu","given":"Xuhan"},{"family":"Zhao","given":"Pei"},{"family":"Li","given":"Chen"},{"family":"Wang","given":"Yanan"},{"family":"Li","given":"Fuyi"},{"family":"Akutsu","given":"Tatsuya"},{"family":"Bain","given":"Chris"},{"family":"Gasser","given":"Robin B"},{"family":"Li","given":"Junzhou"},{"family":"Yang","given":"Zuoren"},{"family":"Gao","given":"Xin"},{"family":"Kurgan","given":"Lukasz"},{"family":"Song","given":"Jiangning"}],"issued":{"date-parts":[["2022",7,5]]},"citation-key":"chenIFeatureOmegaIntegrativePlatform2022"}}],"schema":"https://github.com/citation-style-language/schema/raw/master/csl-citation.json"} </w:instrText>
      </w:r>
      <w:r w:rsidRPr="00BB51EB">
        <w:rPr>
          <w:rFonts w:cs="Times New Roman"/>
        </w:rPr>
        <w:fldChar w:fldCharType="separate"/>
      </w:r>
      <w:r w:rsidRPr="00BB51EB">
        <w:rPr>
          <w:rFonts w:cs="Times New Roman"/>
          <w:noProof/>
        </w:rPr>
        <w:t>(Chen et al., 2022)</w:t>
      </w:r>
      <w:r w:rsidRPr="00BB51EB">
        <w:rPr>
          <w:rFonts w:cs="Times New Roman"/>
        </w:rPr>
        <w:fldChar w:fldCharType="end"/>
      </w:r>
      <w:r w:rsidRPr="00BB51EB">
        <w:rPr>
          <w:rFonts w:cs="Times New Roman"/>
        </w:rPr>
        <w:t>.</w:t>
      </w:r>
    </w:p>
    <w:p w14:paraId="75DD5D04" w14:textId="77777777" w:rsidR="00F40012" w:rsidRPr="00BB51EB" w:rsidRDefault="00F40012" w:rsidP="00F40012">
      <w:pPr>
        <w:spacing w:line="480" w:lineRule="auto"/>
        <w:rPr>
          <w:rFonts w:cs="Times New Roman"/>
        </w:rPr>
      </w:pPr>
      <w:r w:rsidRPr="00BB51EB">
        <w:rPr>
          <w:rFonts w:cs="Times New Roman"/>
        </w:rPr>
        <w:lastRenderedPageBreak/>
        <w:t xml:space="preserve">1.8.2 </w:t>
      </w:r>
      <w:r w:rsidRPr="00BB51EB">
        <w:rPr>
          <w:rFonts w:cs="Times New Roman"/>
          <w:color w:val="000000" w:themeColor="text1"/>
        </w:rPr>
        <w:t>C</w:t>
      </w:r>
      <w:r w:rsidRPr="00BB51EB">
        <w:rPr>
          <w:rFonts w:cs="Times New Roman"/>
        </w:rPr>
        <w:t>omposition-transition-distribution transition (CTDT)</w:t>
      </w:r>
    </w:p>
    <w:p w14:paraId="48466BF2" w14:textId="77777777" w:rsidR="00F40012" w:rsidRPr="00BB51EB" w:rsidRDefault="00F40012" w:rsidP="00F40012">
      <w:pPr>
        <w:spacing w:line="480" w:lineRule="auto"/>
        <w:rPr>
          <w:rFonts w:cs="Times New Roman"/>
        </w:rPr>
      </w:pPr>
      <w:r w:rsidRPr="00BB51EB">
        <w:rPr>
          <w:rFonts w:cs="Times New Roman"/>
        </w:rPr>
        <w:t>CTDT computes the percentage composition values of the transition from one cluster to another cluster among the above thirteen different attributes from a given peptide sequence, which will generate a fixed length of 39 vectors. For example, it will generate three feature groups: polar and neural, neural and hydrophobicity, and hydrophobicity and polar in terms of the attribute “Hydrophobicity_PRAM900101”. Then the given peptide will check its dipeptide compositions with consideration of their feature group for the attribute “Hydrophobicity_PRAM900101”</w:t>
      </w:r>
    </w:p>
    <w:p w14:paraId="50A808BE" w14:textId="77777777" w:rsidR="00F40012" w:rsidRPr="00BB51EB" w:rsidRDefault="00F40012" w:rsidP="00F40012">
      <w:pPr>
        <w:spacing w:line="480" w:lineRule="auto"/>
        <w:rPr>
          <w:rFonts w:cs="Times New Roman"/>
        </w:rPr>
      </w:pPr>
      <w:r w:rsidRPr="00BB51EB">
        <w:rPr>
          <w:rFonts w:cs="Times New Roman"/>
        </w:rPr>
        <w:t xml:space="preserve">the features of, count the total numbers, and calculate the percentage as its features regarding to “Hydrophobicity_PRAM900101” </w:t>
      </w:r>
      <w:r w:rsidRPr="00BB51EB">
        <w:rPr>
          <w:rFonts w:cs="Times New Roman"/>
        </w:rPr>
        <w:fldChar w:fldCharType="begin"/>
      </w:r>
      <w:r w:rsidRPr="00BB51EB">
        <w:rPr>
          <w:rFonts w:cs="Times New Roman"/>
        </w:rPr>
        <w:instrText xml:space="preserve"> ADDIN ZOTERO_ITEM CSL_CITATION {"citationID":"pRJPy2IW","properties":{"formattedCitation":"(Chen et al., 2022)","plainCitation":"(Chen et al., 2022)","noteIndex":0},"citationItems":[{"id":4146,"uris":["http://zotero.org/users/8037828/items/GHYQSKV6"],"itemData":{"id":4146,"type":"article-journal","abstract":"The rapid accumulation of molecular data motivates development of innovative approaches to computationally characterize sequences, structures and functions of biological and chemical molecules in an efficient, accessible and accurate manner. Notwithstanding several computational tools that characterize protein or nucleic acids data, there are no one-stop computational toolkits that comprehensively characterize a wide range of biomolecules. We address this vital need by developing a holistic platform that generates features from sequence and structural data for a diverse collection of molecule types. Our freely available and easy-to-use iFeatureOmega platform generates, analyzes and visualizes 189 representations for biological sequences, structures and ligands. To the best of our knowledge, iFeatureOmega provides the largest scope when directly compared to the current solutions, in terms of the number of feature extraction and analysis approaches and coverage of different molecules. We release three versions of iFeatureOmega including a webserver, command line interface and graphical interface to satisfy needs of experienced bioinformaticians and less computer-savvy biologists and biochemists. With the assistance of iFeatureOmega, users can encode their molecular data into representations that facilitate construction of predictive models and analytical studies. We highlight benefits of iFeatureOmega based on three research applications, demonstrating how it can be used to accelerate and streamline research in bioinformatics, computational biology, and cheminformatics areas. The iFeatureOmega webserver is freely available at http://ifeatureomega.erc.monash.edu and the standalone versions can be downloaded from https://github.com/Superzchen/iFeatureOmega-GUI/ and https://github.com/Superzchen/iFeatureOmega-CLI/.","container-title":"Nucleic Acids Research","DOI":"10.1093/nar/gkac351","ISSN":"0305-1048","issue":"W1","journalAbbreviation":"Nucleic Acids Research","page":"W434-W447","source":"Silverchair","title":"iFeatureOmega: an integrative platform for engineering, visualization and analysis of features from molecular sequences, structural and ligand data sets","title-short":"iFeatureOmega","volume":"50","author":[{"family":"Chen","given":"Zhen"},{"family":"Liu","given":"Xuhan"},{"family":"Zhao","given":"Pei"},{"family":"Li","given":"Chen"},{"family":"Wang","given":"Yanan"},{"family":"Li","given":"Fuyi"},{"family":"Akutsu","given":"Tatsuya"},{"family":"Bain","given":"Chris"},{"family":"Gasser","given":"Robin B"},{"family":"Li","given":"Junzhou"},{"family":"Yang","given":"Zuoren"},{"family":"Gao","given":"Xin"},{"family":"Kurgan","given":"Lukasz"},{"family":"Song","given":"Jiangning"}],"issued":{"date-parts":[["2022",7,5]]},"citation-key":"chenIFeatureOmegaIntegrativePlatform2022"}}],"schema":"https://github.com/citation-style-language/schema/raw/master/csl-citation.json"} </w:instrText>
      </w:r>
      <w:r w:rsidRPr="00BB51EB">
        <w:rPr>
          <w:rFonts w:cs="Times New Roman"/>
        </w:rPr>
        <w:fldChar w:fldCharType="separate"/>
      </w:r>
      <w:r w:rsidRPr="00BB51EB">
        <w:rPr>
          <w:rFonts w:cs="Times New Roman"/>
          <w:noProof/>
        </w:rPr>
        <w:t>(Chen et al., 2022)</w:t>
      </w:r>
      <w:r w:rsidRPr="00BB51EB">
        <w:rPr>
          <w:rFonts w:cs="Times New Roman"/>
        </w:rPr>
        <w:fldChar w:fldCharType="end"/>
      </w:r>
      <w:r w:rsidRPr="00BB51EB">
        <w:rPr>
          <w:rFonts w:cs="Times New Roman"/>
        </w:rPr>
        <w:t>.</w:t>
      </w:r>
    </w:p>
    <w:p w14:paraId="59643517" w14:textId="77777777" w:rsidR="00F40012" w:rsidRPr="00BB51EB" w:rsidRDefault="00F40012" w:rsidP="00F40012">
      <w:pPr>
        <w:spacing w:line="480" w:lineRule="auto"/>
        <w:rPr>
          <w:rFonts w:cs="Times New Roman"/>
        </w:rPr>
      </w:pPr>
      <w:r w:rsidRPr="00BB51EB">
        <w:rPr>
          <w:rFonts w:cs="Times New Roman"/>
        </w:rPr>
        <w:t xml:space="preserve">1.8.3 </w:t>
      </w:r>
      <w:r w:rsidRPr="00BB51EB">
        <w:rPr>
          <w:rFonts w:cs="Times New Roman"/>
          <w:color w:val="000000" w:themeColor="text1"/>
        </w:rPr>
        <w:t>C</w:t>
      </w:r>
      <w:r w:rsidRPr="00BB51EB">
        <w:rPr>
          <w:rFonts w:cs="Times New Roman"/>
        </w:rPr>
        <w:t>omposition-transition-distribution distribution (CTDD)</w:t>
      </w:r>
    </w:p>
    <w:p w14:paraId="7455ABEA" w14:textId="77777777" w:rsidR="00F40012" w:rsidRPr="00BB51EB" w:rsidRDefault="00F40012" w:rsidP="00F40012">
      <w:pPr>
        <w:shd w:val="clear" w:color="auto" w:fill="FFFFFF"/>
        <w:spacing w:line="360" w:lineRule="auto"/>
        <w:rPr>
          <w:rFonts w:cs="Times New Roman"/>
        </w:rPr>
      </w:pPr>
      <w:r w:rsidRPr="00BB51EB">
        <w:rPr>
          <w:rFonts w:cs="Times New Roman"/>
        </w:rPr>
        <w:t>CTDD</w:t>
      </w:r>
      <w:r w:rsidRPr="00BB51EB">
        <w:rPr>
          <w:rFonts w:cs="Times New Roman"/>
          <w:color w:val="000000" w:themeColor="text1"/>
        </w:rPr>
        <w:t xml:space="preserve"> also computes the </w:t>
      </w:r>
      <w:r w:rsidRPr="00BB51EB">
        <w:rPr>
          <w:rFonts w:cs="Times New Roman"/>
        </w:rPr>
        <w:t xml:space="preserve">percentage composition values of the above thirteen different attributes from a given peptide sequence. The given peptide sequence is used to generate the fraction of the entire sequence, </w:t>
      </w:r>
      <w:r w:rsidRPr="00BB51EB">
        <w:rPr>
          <w:rFonts w:cs="Times New Roman"/>
          <w:color w:val="000000" w:themeColor="text1"/>
        </w:rPr>
        <w:t xml:space="preserve">where 25, 50, 75, and 100% of occurrences are contained. Then the CTDC values of each fraction are calculated and concatenated as the peptide representation with a </w:t>
      </w:r>
      <w:r w:rsidRPr="00BB51EB">
        <w:rPr>
          <w:rFonts w:cs="Times New Roman"/>
        </w:rPr>
        <w:t xml:space="preserve">fixed length of 195 vectors </w:t>
      </w:r>
      <w:r w:rsidRPr="00BB51EB">
        <w:rPr>
          <w:rFonts w:cs="Times New Roman"/>
        </w:rPr>
        <w:fldChar w:fldCharType="begin"/>
      </w:r>
      <w:r w:rsidRPr="00BB51EB">
        <w:rPr>
          <w:rFonts w:cs="Times New Roman"/>
        </w:rPr>
        <w:instrText xml:space="preserve"> ADDIN ZOTERO_ITEM CSL_CITATION {"citationID":"pRJPy2IW","properties":{"formattedCitation":"(Chen et al., 2022)","plainCitation":"(Chen et al., 2022)","noteIndex":0},"citationItems":[{"id":4146,"uris":["http://zotero.org/users/8037828/items/GHYQSKV6"],"itemData":{"id":4146,"type":"article-journal","abstract":"The rapid accumulation of molecular data motivates development of innovative approaches to computationally characterize sequences, structures and functions of biological and chemical molecules in an efficient, accessible and accurate manner. Notwithstanding several computational tools that characterize protein or nucleic acids data, there are no one-stop computational toolkits that comprehensively characterize a wide range of biomolecules. We address this vital need by developing a holistic platform that generates features from sequence and structural data for a diverse collection of molecule types. Our freely available and easy-to-use iFeatureOmega platform generates, analyzes and visualizes 189 representations for biological sequences, structures and ligands. To the best of our knowledge, iFeatureOmega provides the largest scope when directly compared to the current solutions, in terms of the number of feature extraction and analysis approaches and coverage of different molecules. We release three versions of iFeatureOmega including a webserver, command line interface and graphical interface to satisfy needs of experienced bioinformaticians and less computer-savvy biologists and biochemists. With the assistance of iFeatureOmega, users can encode their molecular data into representations that facilitate construction of predictive models and analytical studies. We highlight benefits of iFeatureOmega based on three research applications, demonstrating how it can be used to accelerate and streamline research in bioinformatics, computational biology, and cheminformatics areas. The iFeatureOmega webserver is freely available at http://ifeatureomega.erc.monash.edu and the standalone versions can be downloaded from https://github.com/Superzchen/iFeatureOmega-GUI/ and https://github.com/Superzchen/iFeatureOmega-CLI/.","container-title":"Nucleic Acids Research","DOI":"10.1093/nar/gkac351","ISSN":"0305-1048","issue":"W1","journalAbbreviation":"Nucleic Acids Research","page":"W434-W447","source":"Silverchair","title":"iFeatureOmega: an integrative platform for engineering, visualization and analysis of features from molecular sequences, structural and ligand data sets","title-short":"iFeatureOmega","volume":"50","author":[{"family":"Chen","given":"Zhen"},{"family":"Liu","given":"Xuhan"},{"family":"Zhao","given":"Pei"},{"family":"Li","given":"Chen"},{"family":"Wang","given":"Yanan"},{"family":"Li","given":"Fuyi"},{"family":"Akutsu","given":"Tatsuya"},{"family":"Bain","given":"Chris"},{"family":"Gasser","given":"Robin B"},{"family":"Li","given":"Junzhou"},{"family":"Yang","given":"Zuoren"},{"family":"Gao","given":"Xin"},{"family":"Kurgan","given":"Lukasz"},{"family":"Song","given":"Jiangning"}],"issued":{"date-parts":[["2022",7,5]]},"citation-key":"chenIFeatureOmegaIntegrativePlatform2022"}}],"schema":"https://github.com/citation-style-language/schema/raw/master/csl-citation.json"} </w:instrText>
      </w:r>
      <w:r w:rsidRPr="00BB51EB">
        <w:rPr>
          <w:rFonts w:cs="Times New Roman"/>
        </w:rPr>
        <w:fldChar w:fldCharType="separate"/>
      </w:r>
      <w:r w:rsidRPr="00BB51EB">
        <w:rPr>
          <w:rFonts w:cs="Times New Roman"/>
          <w:noProof/>
        </w:rPr>
        <w:t>(Chen et al., 2022)</w:t>
      </w:r>
      <w:r w:rsidRPr="00BB51EB">
        <w:rPr>
          <w:rFonts w:cs="Times New Roman"/>
        </w:rPr>
        <w:fldChar w:fldCharType="end"/>
      </w:r>
      <w:r w:rsidRPr="00BB51EB">
        <w:rPr>
          <w:rFonts w:cs="Times New Roman"/>
        </w:rPr>
        <w:t>.</w:t>
      </w:r>
    </w:p>
    <w:p w14:paraId="15B113D1" w14:textId="77777777" w:rsidR="00F40012" w:rsidRPr="00BB51EB" w:rsidRDefault="00F40012" w:rsidP="00F40012">
      <w:pPr>
        <w:shd w:val="clear" w:color="auto" w:fill="FFFFFF"/>
        <w:spacing w:line="360" w:lineRule="auto"/>
        <w:rPr>
          <w:rFonts w:cs="Times New Roman"/>
        </w:rPr>
      </w:pPr>
    </w:p>
    <w:p w14:paraId="4551EA4E" w14:textId="77777777" w:rsidR="00F40012" w:rsidRPr="00BB51EB" w:rsidRDefault="00F40012" w:rsidP="00F40012">
      <w:pPr>
        <w:spacing w:line="480" w:lineRule="auto"/>
        <w:rPr>
          <w:rFonts w:cs="Times New Roman"/>
        </w:rPr>
      </w:pPr>
      <w:r w:rsidRPr="00BB51EB">
        <w:rPr>
          <w:rFonts w:cs="Times New Roman"/>
          <w:color w:val="000000" w:themeColor="text1"/>
        </w:rPr>
        <w:t xml:space="preserve">1.9 </w:t>
      </w:r>
      <w:r w:rsidRPr="00BB51EB">
        <w:rPr>
          <w:rFonts w:cs="Times New Roman"/>
        </w:rPr>
        <w:t>Grouped amino acid composition (GAAC)</w:t>
      </w:r>
    </w:p>
    <w:p w14:paraId="729680B5" w14:textId="77777777" w:rsidR="00F40012" w:rsidRPr="00BB51EB" w:rsidRDefault="00F40012" w:rsidP="00F40012">
      <w:pPr>
        <w:spacing w:line="360" w:lineRule="auto"/>
        <w:rPr>
          <w:rFonts w:cs="Times New Roman"/>
          <w:color w:val="000000" w:themeColor="text1"/>
        </w:rPr>
      </w:pPr>
      <w:r w:rsidRPr="00BB51EB">
        <w:rPr>
          <w:rFonts w:cs="Times New Roman"/>
        </w:rPr>
        <w:t>GAAC computes the percentage composition the residues belonging to five groups,</w:t>
      </w:r>
      <w:r w:rsidRPr="00BB51EB">
        <w:rPr>
          <w:rFonts w:cs="Times New Roman"/>
          <w:color w:val="000000" w:themeColor="text1"/>
        </w:rPr>
        <w:t xml:space="preserve"> including the aliphatic group (</w:t>
      </w:r>
      <w:r w:rsidRPr="00BB51EB">
        <w:rPr>
          <w:rFonts w:cs="Times New Roman"/>
          <w:i/>
          <w:color w:val="000000" w:themeColor="text1"/>
        </w:rPr>
        <w:t>g1</w:t>
      </w:r>
      <w:r w:rsidRPr="00BB51EB">
        <w:rPr>
          <w:rFonts w:cs="Times New Roman"/>
          <w:color w:val="000000" w:themeColor="text1"/>
        </w:rPr>
        <w:t>: GAVLMI), aromatic group (</w:t>
      </w:r>
      <w:r w:rsidRPr="00BB51EB">
        <w:rPr>
          <w:rFonts w:cs="Times New Roman"/>
          <w:i/>
          <w:color w:val="000000" w:themeColor="text1"/>
        </w:rPr>
        <w:t>g2</w:t>
      </w:r>
      <w:r w:rsidRPr="00BB51EB">
        <w:rPr>
          <w:rFonts w:cs="Times New Roman"/>
          <w:color w:val="000000" w:themeColor="text1"/>
        </w:rPr>
        <w:t>: FYW), positive charge group (</w:t>
      </w:r>
      <w:r w:rsidRPr="00BB51EB">
        <w:rPr>
          <w:rFonts w:cs="Times New Roman"/>
          <w:i/>
          <w:color w:val="000000" w:themeColor="text1"/>
        </w:rPr>
        <w:t>g3</w:t>
      </w:r>
      <w:r w:rsidRPr="00BB51EB">
        <w:rPr>
          <w:rFonts w:cs="Times New Roman"/>
          <w:color w:val="000000" w:themeColor="text1"/>
        </w:rPr>
        <w:t>: KRH), negative charged group (</w:t>
      </w:r>
      <w:r w:rsidRPr="00BB51EB">
        <w:rPr>
          <w:rFonts w:cs="Times New Roman"/>
          <w:i/>
          <w:color w:val="000000" w:themeColor="text1"/>
        </w:rPr>
        <w:t>g4</w:t>
      </w:r>
      <w:r w:rsidRPr="00BB51EB">
        <w:rPr>
          <w:rFonts w:cs="Times New Roman"/>
          <w:color w:val="000000" w:themeColor="text1"/>
        </w:rPr>
        <w:t>: DE) and uncharged group (</w:t>
      </w:r>
      <w:r w:rsidRPr="00BB51EB">
        <w:rPr>
          <w:rFonts w:cs="Times New Roman"/>
          <w:i/>
          <w:color w:val="000000" w:themeColor="text1"/>
        </w:rPr>
        <w:t>g5</w:t>
      </w:r>
      <w:r w:rsidRPr="00BB51EB">
        <w:rPr>
          <w:rFonts w:cs="Times New Roman"/>
          <w:color w:val="000000" w:themeColor="text1"/>
        </w:rPr>
        <w:t xml:space="preserve">: STCPNQ), where the given peptide is represented by a </w:t>
      </w:r>
      <w:r w:rsidRPr="00BB51EB">
        <w:rPr>
          <w:rFonts w:cs="Times New Roman"/>
        </w:rPr>
        <w:t xml:space="preserve">fixed length of 5 vectors </w:t>
      </w:r>
      <w:r w:rsidRPr="00BB51EB">
        <w:rPr>
          <w:rFonts w:cs="Times New Roman"/>
        </w:rPr>
        <w:fldChar w:fldCharType="begin"/>
      </w:r>
      <w:r w:rsidRPr="00BB51EB">
        <w:rPr>
          <w:rFonts w:cs="Times New Roman"/>
        </w:rPr>
        <w:instrText xml:space="preserve"> ADDIN ZOTERO_ITEM CSL_CITATION {"citationID":"pRJPy2IW","properties":{"formattedCitation":"(Chen et al., 2022)","plainCitation":"(Chen et al., 2022)","noteIndex":0},"citationItems":[{"id":4146,"uris":["http://zotero.org/users/8037828/items/GHYQSKV6"],"itemData":{"id":4146,"type":"article-journal","abstract":"The rapid accumulation of molecular data motivates development of innovative approaches to computationally characterize sequences, structures and functions of biological and chemical molecules in an efficient, accessible and accurate manner. Notwithstanding several computational tools that characterize protein or nucleic acids data, there are no one-stop computational toolkits that comprehensively characterize a wide range of biomolecules. We address this vital need by developing a holistic platform that generates features from sequence and structural data for a diverse collection of molecule types. Our freely available and easy-to-use iFeatureOmega platform generates, analyzes and visualizes 189 representations for biological sequences, structures and ligands. To the best of our knowledge, iFeatureOmega provides the largest scope when directly compared to the current solutions, in terms of the number of feature extraction and analysis approaches and coverage of different molecules. We release three versions of iFeatureOmega including a webserver, command line interface and graphical interface to satisfy needs of experienced bioinformaticians and less computer-savvy biologists and biochemists. With the assistance of iFeatureOmega, users can encode their molecular data into representations that facilitate construction of predictive models and analytical studies. We highlight benefits of iFeatureOmega based on three research applications, demonstrating how it can be used to accelerate and streamline research in bioinformatics, computational biology, and cheminformatics areas. The iFeatureOmega webserver is freely available at http://ifeatureomega.erc.monash.edu and the standalone versions can be downloaded from https://github.com/Superzchen/iFeatureOmega-GUI/ and https://github.com/Superzchen/iFeatureOmega-CLI/.","container-title":"Nucleic Acids Research","DOI":"10.1093/nar/gkac351","ISSN":"0305-1048","issue":"W1","journalAbbreviation":"Nucleic Acids Research","page":"W434-W447","source":"Silverchair","title":"iFeatureOmega: an integrative platform for engineering, visualization and analysis of features from molecular sequences, structural and ligand data sets","title-short":"iFeatureOmega","volume":"50","author":[{"family":"Chen","given":"Zhen"},{"family":"Liu","given":"Xuhan"},{"family":"Zhao","given":"Pei"},{"family":"Li","given":"Chen"},{"family":"Wang","given":"Yanan"},{"family":"Li","given":"Fuyi"},{"family":"Akutsu","given":"Tatsuya"},{"family":"Bain","given":"Chris"},{"family":"Gasser","given":"Robin B"},{"family":"Li","given":"Junzhou"},{"family":"Yang","given":"Zuoren"},{"family":"Gao","given":"Xin"},{"family":"Kurgan","given":"Lukasz"},{"family":"Song","given":"Jiangning"}],"issued":{"date-parts":[["2022",7,5]]},"citation-key":"chenIFeatureOmegaIntegrativePlatform2022"}}],"schema":"https://github.com/citation-style-language/schema/raw/master/csl-citation.json"} </w:instrText>
      </w:r>
      <w:r w:rsidRPr="00BB51EB">
        <w:rPr>
          <w:rFonts w:cs="Times New Roman"/>
        </w:rPr>
        <w:fldChar w:fldCharType="separate"/>
      </w:r>
      <w:r w:rsidRPr="00BB51EB">
        <w:rPr>
          <w:rFonts w:cs="Times New Roman"/>
          <w:noProof/>
        </w:rPr>
        <w:t>(Chen et al., 2022)</w:t>
      </w:r>
      <w:r w:rsidRPr="00BB51EB">
        <w:rPr>
          <w:rFonts w:cs="Times New Roman"/>
        </w:rPr>
        <w:fldChar w:fldCharType="end"/>
      </w:r>
      <w:r w:rsidRPr="00BB51EB">
        <w:rPr>
          <w:rFonts w:cs="Times New Roman"/>
        </w:rPr>
        <w:t>.</w:t>
      </w:r>
    </w:p>
    <w:p w14:paraId="12D49FCF" w14:textId="77777777" w:rsidR="00F40012" w:rsidRPr="00BB51EB" w:rsidRDefault="00F40012" w:rsidP="00F40012">
      <w:pPr>
        <w:spacing w:line="480" w:lineRule="auto"/>
        <w:rPr>
          <w:rFonts w:cs="Times New Roman"/>
        </w:rPr>
      </w:pPr>
    </w:p>
    <w:p w14:paraId="02038C03" w14:textId="77777777" w:rsidR="00F40012" w:rsidRPr="00BB51EB" w:rsidRDefault="00F40012" w:rsidP="00F40012">
      <w:pPr>
        <w:spacing w:line="480" w:lineRule="auto"/>
        <w:rPr>
          <w:rFonts w:cs="Times New Roman"/>
        </w:rPr>
      </w:pPr>
      <w:r w:rsidRPr="00BB51EB">
        <w:rPr>
          <w:rFonts w:cs="Times New Roman"/>
        </w:rPr>
        <w:t>1.10 Grouped dipeptide composition (GDPC)</w:t>
      </w:r>
    </w:p>
    <w:p w14:paraId="5D1F1153" w14:textId="77777777" w:rsidR="00F40012" w:rsidRPr="00BB51EB" w:rsidRDefault="00F40012" w:rsidP="00F40012">
      <w:pPr>
        <w:spacing w:line="480" w:lineRule="auto"/>
        <w:rPr>
          <w:rFonts w:cs="Times New Roman"/>
        </w:rPr>
      </w:pPr>
      <w:r w:rsidRPr="00BB51EB">
        <w:rPr>
          <w:rFonts w:cs="Times New Roman"/>
        </w:rPr>
        <w:t xml:space="preserve">GDPC combines the GAAC and DPC for peptide representation, where the dipeptide composition type encrypted in the given peptide was counted. There are 25 different </w:t>
      </w:r>
      <w:r w:rsidRPr="00BB51EB">
        <w:rPr>
          <w:rFonts w:cs="Times New Roman"/>
        </w:rPr>
        <w:lastRenderedPageBreak/>
        <w:t xml:space="preserve">combinations for the five groups in GAAC and generate a fixed length of 25 vectors </w:t>
      </w:r>
      <w:r w:rsidRPr="00BB51EB">
        <w:rPr>
          <w:rFonts w:cs="Times New Roman"/>
        </w:rPr>
        <w:fldChar w:fldCharType="begin"/>
      </w:r>
      <w:r w:rsidRPr="00BB51EB">
        <w:rPr>
          <w:rFonts w:cs="Times New Roman"/>
        </w:rPr>
        <w:instrText xml:space="preserve"> ADDIN ZOTERO_ITEM CSL_CITATION {"citationID":"pRJPy2IW","properties":{"formattedCitation":"(Chen et al., 2022)","plainCitation":"(Chen et al., 2022)","noteIndex":0},"citationItems":[{"id":4146,"uris":["http://zotero.org/users/8037828/items/GHYQSKV6"],"itemData":{"id":4146,"type":"article-journal","abstract":"The rapid accumulation of molecular data motivates development of innovative approaches to computationally characterize sequences, structures and functions of biological and chemical molecules in an efficient, accessible and accurate manner. Notwithstanding several computational tools that characterize protein or nucleic acids data, there are no one-stop computational toolkits that comprehensively characterize a wide range of biomolecules. We address this vital need by developing a holistic platform that generates features from sequence and structural data for a diverse collection of molecule types. Our freely available and easy-to-use iFeatureOmega platform generates, analyzes and visualizes 189 representations for biological sequences, structures and ligands. To the best of our knowledge, iFeatureOmega provides the largest scope when directly compared to the current solutions, in terms of the number of feature extraction and analysis approaches and coverage of different molecules. We release three versions of iFeatureOmega including a webserver, command line interface and graphical interface to satisfy needs of experienced bioinformaticians and less computer-savvy biologists and biochemists. With the assistance of iFeatureOmega, users can encode their molecular data into representations that facilitate construction of predictive models and analytical studies. We highlight benefits of iFeatureOmega based on three research applications, demonstrating how it can be used to accelerate and streamline research in bioinformatics, computational biology, and cheminformatics areas. The iFeatureOmega webserver is freely available at http://ifeatureomega.erc.monash.edu and the standalone versions can be downloaded from https://github.com/Superzchen/iFeatureOmega-GUI/ and https://github.com/Superzchen/iFeatureOmega-CLI/.","container-title":"Nucleic Acids Research","DOI":"10.1093/nar/gkac351","ISSN":"0305-1048","issue":"W1","journalAbbreviation":"Nucleic Acids Research","page":"W434-W447","source":"Silverchair","title":"iFeatureOmega: an integrative platform for engineering, visualization and analysis of features from molecular sequences, structural and ligand data sets","title-short":"iFeatureOmega","volume":"50","author":[{"family":"Chen","given":"Zhen"},{"family":"Liu","given":"Xuhan"},{"family":"Zhao","given":"Pei"},{"family":"Li","given":"Chen"},{"family":"Wang","given":"Yanan"},{"family":"Li","given":"Fuyi"},{"family":"Akutsu","given":"Tatsuya"},{"family":"Bain","given":"Chris"},{"family":"Gasser","given":"Robin B"},{"family":"Li","given":"Junzhou"},{"family":"Yang","given":"Zuoren"},{"family":"Gao","given":"Xin"},{"family":"Kurgan","given":"Lukasz"},{"family":"Song","given":"Jiangning"}],"issued":{"date-parts":[["2022",7,5]]},"citation-key":"chenIFeatureOmegaIntegrativePlatform2022"}}],"schema":"https://github.com/citation-style-language/schema/raw/master/csl-citation.json"} </w:instrText>
      </w:r>
      <w:r w:rsidRPr="00BB51EB">
        <w:rPr>
          <w:rFonts w:cs="Times New Roman"/>
        </w:rPr>
        <w:fldChar w:fldCharType="separate"/>
      </w:r>
      <w:r w:rsidRPr="00BB51EB">
        <w:rPr>
          <w:rFonts w:cs="Times New Roman"/>
          <w:noProof/>
        </w:rPr>
        <w:t>(Chen et al., 2022)</w:t>
      </w:r>
      <w:r w:rsidRPr="00BB51EB">
        <w:rPr>
          <w:rFonts w:cs="Times New Roman"/>
        </w:rPr>
        <w:fldChar w:fldCharType="end"/>
      </w:r>
      <w:r w:rsidRPr="00BB51EB">
        <w:rPr>
          <w:rFonts w:cs="Times New Roman"/>
        </w:rPr>
        <w:t>.</w:t>
      </w:r>
    </w:p>
    <w:p w14:paraId="019DECEB" w14:textId="77777777" w:rsidR="009B541D" w:rsidRDefault="009B541D"/>
    <w:sectPr w:rsidR="009B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12"/>
    <w:rsid w:val="009B541D"/>
    <w:rsid w:val="00F4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B0D2C"/>
  <w15:chartTrackingRefBased/>
  <w15:docId w15:val="{97801D59-90C2-2D44-A0DC-1EBC23F0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Body CS)"/>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01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012"/>
    <w:rPr>
      <w:rFonts w:asciiTheme="minorHAnsi" w:eastAsiaTheme="minorEastAsia" w:hAnsiTheme="minorHAnsi" w:cstheme="minorBidi"/>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6305</Words>
  <Characters>35942</Characters>
  <Application>Microsoft Office Word</Application>
  <DocSecurity>0</DocSecurity>
  <Lines>299</Lines>
  <Paragraphs>84</Paragraphs>
  <ScaleCrop>false</ScaleCrop>
  <Company/>
  <LinksUpToDate>false</LinksUpToDate>
  <CharactersWithSpaces>42163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Zhenjiao Du</dc:creator>
  <cp:keywords/>
  <dc:description/>
  <cp:lastModifiedBy>Zhenjiao Du</cp:lastModifiedBy>
  <cp:revision>1</cp:revision>
  <dcterms:created xsi:type="dcterms:W3CDTF">2023-04-13T19:41:00Z</dcterms:created>
  <dcterms:modified xsi:type="dcterms:W3CDTF">2023-04-13T19:41:00Z</dcterms:modified>
</cp:coreProperties>
</file>