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A2" w:rsidRDefault="0060667C">
      <w:r>
        <w:t>По горячим следам презентации пилотного проекта</w:t>
      </w:r>
    </w:p>
    <w:p w:rsidR="0060667C" w:rsidRDefault="0060667C"/>
    <w:p w:rsidR="0060667C" w:rsidRDefault="0060667C" w:rsidP="00140B0B">
      <w:pPr>
        <w:pStyle w:val="a3"/>
        <w:numPr>
          <w:ilvl w:val="0"/>
          <w:numId w:val="1"/>
        </w:numPr>
      </w:pPr>
      <w:r>
        <w:t>Связи с тем, что много говорили о тарифицируемых услугах и массовом начислении</w:t>
      </w:r>
      <w:r w:rsidR="00E62955">
        <w:t>,</w:t>
      </w:r>
      <w:r>
        <w:t xml:space="preserve"> сделаю ещё одно пояснение своего видения, как должно работать начисление, на</w:t>
      </w:r>
      <w:r w:rsidR="00E62955">
        <w:t xml:space="preserve"> примере </w:t>
      </w:r>
      <w:r w:rsidR="00D658A2">
        <w:t xml:space="preserve">условного </w:t>
      </w:r>
      <w:r w:rsidR="00E62955">
        <w:t xml:space="preserve">тарифа с </w:t>
      </w:r>
      <w:proofErr w:type="spellStart"/>
      <w:r w:rsidR="00E62955">
        <w:t>грейспериодом</w:t>
      </w:r>
      <w:proofErr w:type="spellEnd"/>
      <w:r w:rsidR="00E62955">
        <w:t>.</w:t>
      </w:r>
    </w:p>
    <w:p w:rsidR="0060667C" w:rsidRDefault="0060667C">
      <w:r>
        <w:t>Тариф должен четко рассчитать сумму услуги за конкретный период. Входными параметрами тарифа являются Ид договора, даты с, по, на выходе – сумма тарифицируемой услуги.</w:t>
      </w:r>
    </w:p>
    <w:p w:rsidR="00E62955" w:rsidRDefault="00E62955"/>
    <w:p w:rsidR="00E62955" w:rsidRDefault="002D3DCB">
      <w:r>
        <w:rPr>
          <w:noProof/>
          <w:lang w:eastAsia="ru-RU"/>
        </w:rPr>
        <w:drawing>
          <wp:inline distT="0" distB="0" distL="0" distR="0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55" w:rsidRDefault="00E62955">
      <w:r>
        <w:t xml:space="preserve">Предположим, что до 31.12.2019 – дата последнего начисления по условной тарифицируемой услуге «Сумма % по кредитному договору с </w:t>
      </w:r>
      <w:proofErr w:type="spellStart"/>
      <w:r>
        <w:t>грейс</w:t>
      </w:r>
      <w:proofErr w:type="spellEnd"/>
      <w:r w:rsidR="001D26E3" w:rsidRPr="001D26E3">
        <w:t xml:space="preserve"> </w:t>
      </w:r>
      <w:r>
        <w:t xml:space="preserve">периодом», за период 01.12.2019-31.12.2019 была начислена какая-то сумма и отражена в </w:t>
      </w:r>
      <w:proofErr w:type="spellStart"/>
      <w:r>
        <w:t>финучете</w:t>
      </w:r>
      <w:proofErr w:type="spellEnd"/>
      <w:r>
        <w:t xml:space="preserve">, как задолженность по </w:t>
      </w:r>
      <w:proofErr w:type="gramStart"/>
      <w:r>
        <w:t>%..</w:t>
      </w:r>
      <w:proofErr w:type="gramEnd"/>
      <w:r>
        <w:t xml:space="preserve"> Следующий процентный период – 01.01.2020 – 31.01.2020. </w:t>
      </w:r>
    </w:p>
    <w:p w:rsidR="00E62955" w:rsidRDefault="00E62955">
      <w:r>
        <w:t xml:space="preserve">За период </w:t>
      </w:r>
      <w:r>
        <w:t>01.01.2020 – 31.01.2020</w:t>
      </w:r>
      <w:r>
        <w:t xml:space="preserve"> тариф должен уметь </w:t>
      </w:r>
      <w:r w:rsidRPr="00140B0B">
        <w:rPr>
          <w:u w:val="single"/>
        </w:rPr>
        <w:t>правильно рассчитать</w:t>
      </w:r>
      <w:r w:rsidR="002D3DCB">
        <w:t xml:space="preserve"> сумму услуги, согласно требований к тарифу.</w:t>
      </w:r>
      <w:r>
        <w:t xml:space="preserve"> Возможно, для </w:t>
      </w:r>
      <w:r w:rsidR="002D3DCB">
        <w:t>правильного рас</w:t>
      </w:r>
      <w:r>
        <w:t xml:space="preserve">чета понадобится поднять историю </w:t>
      </w:r>
      <w:r w:rsidR="002D3DCB">
        <w:t xml:space="preserve">остатков по </w:t>
      </w:r>
      <w:r>
        <w:t>задолженности до даты 31.12.2019</w:t>
      </w:r>
      <w:r w:rsidR="002D3DCB">
        <w:t>, т.е. поднять какую-то историю остатков за прошедший период</w:t>
      </w:r>
      <w:r w:rsidR="00C40CE3" w:rsidRPr="00C40CE3">
        <w:t xml:space="preserve"> </w:t>
      </w:r>
      <w:r w:rsidR="00C40CE3">
        <w:t>и учесть остатки\обороты за прошлый процентный период</w:t>
      </w:r>
      <w:r w:rsidR="002D3DCB">
        <w:t>. К примеру, если исходящи</w:t>
      </w:r>
      <w:r w:rsidR="00C40CE3">
        <w:t>й</w:t>
      </w:r>
      <w:r w:rsidR="002D3DCB">
        <w:t xml:space="preserve"> остаток по задолженности на 31.01.2020 = 0 (клиент вовремя погасил задолженность и уложился в 30 дней), то тариф должен вернуть за период 01.01.2020-31.01.2020 сумму начисленную по ставке 0% (или любой другой заданной </w:t>
      </w:r>
      <w:r w:rsidR="00E624E2">
        <w:t xml:space="preserve">ставке </w:t>
      </w:r>
      <w:r w:rsidR="002D3DCB">
        <w:t>в настройках тарифа).</w:t>
      </w:r>
      <w:r w:rsidR="00C40CE3">
        <w:t xml:space="preserve"> Если остаток на 31.01.2020 </w:t>
      </w:r>
      <w:r w:rsidR="00C40CE3" w:rsidRPr="00C40CE3">
        <w:t>&lt;&gt; 0</w:t>
      </w:r>
      <w:r w:rsidR="00C40CE3">
        <w:t>, то должна быть применена повышенная процентная ставка, тоже взятая из настроек тарифа. Как вариант, такой вид тарифа до</w:t>
      </w:r>
      <w:r w:rsidR="00140B0B">
        <w:t>лжен опираться на 2 вида ставок (</w:t>
      </w:r>
      <w:proofErr w:type="spellStart"/>
      <w:r w:rsidR="00140B0B">
        <w:t>двуставочный</w:t>
      </w:r>
      <w:proofErr w:type="spellEnd"/>
      <w:r w:rsidR="00140B0B">
        <w:t xml:space="preserve"> тариф)</w:t>
      </w:r>
    </w:p>
    <w:p w:rsidR="00C40CE3" w:rsidRDefault="00C40CE3">
      <w:r>
        <w:t>Ещё как вариант, другой вид тарифа может учитывать сумму оборота по счету за текущий % период</w:t>
      </w:r>
      <w:r w:rsidR="00A9686F">
        <w:t>, или сумму с</w:t>
      </w:r>
      <w:r>
        <w:t>р</w:t>
      </w:r>
      <w:r w:rsidR="00A9686F">
        <w:t>е</w:t>
      </w:r>
      <w:r>
        <w:t>днедневных остатков, и в зависимости от суммы остатка считать по соответствующей ставке.</w:t>
      </w:r>
    </w:p>
    <w:p w:rsidR="00C40CE3" w:rsidRDefault="00C40CE3">
      <w:proofErr w:type="gramStart"/>
      <w:r>
        <w:t>Например</w:t>
      </w:r>
      <w:proofErr w:type="gramEnd"/>
      <w:r>
        <w:t>:</w:t>
      </w:r>
    </w:p>
    <w:p w:rsidR="00C40CE3" w:rsidRDefault="00C40CE3">
      <w:r>
        <w:t xml:space="preserve">1 – </w:t>
      </w:r>
      <w:proofErr w:type="gramStart"/>
      <w:r>
        <w:t xml:space="preserve">1000  </w:t>
      </w:r>
      <w:proofErr w:type="spellStart"/>
      <w:r>
        <w:t>руб</w:t>
      </w:r>
      <w:proofErr w:type="spellEnd"/>
      <w:proofErr w:type="gramEnd"/>
      <w:r>
        <w:t xml:space="preserve"> : 2%</w:t>
      </w:r>
    </w:p>
    <w:p w:rsidR="00C40CE3" w:rsidRDefault="00C40CE3">
      <w:r>
        <w:t>1001 – 5000: 3%</w:t>
      </w:r>
    </w:p>
    <w:p w:rsidR="00C40CE3" w:rsidRDefault="00C40CE3">
      <w:r>
        <w:t>50001 – 99999: 4%</w:t>
      </w:r>
    </w:p>
    <w:p w:rsidR="00C40CE3" w:rsidRDefault="00C40CE3">
      <w:r>
        <w:t>Конкретные цифры должны настраиваться на стороне банка.</w:t>
      </w:r>
    </w:p>
    <w:p w:rsidR="00C40CE3" w:rsidRDefault="00C40CE3"/>
    <w:p w:rsidR="00E624E2" w:rsidRDefault="00E624E2">
      <w:r>
        <w:t>Как пример: допустимые виды ставок\</w:t>
      </w:r>
      <w:proofErr w:type="gramStart"/>
      <w:r>
        <w:t>тарифов  для</w:t>
      </w:r>
      <w:proofErr w:type="gramEnd"/>
      <w:r>
        <w:t xml:space="preserve"> хранения в БД:</w:t>
      </w:r>
    </w:p>
    <w:p w:rsidR="00C40CE3" w:rsidRDefault="00E624E2">
      <w:r>
        <w:rPr>
          <w:noProof/>
          <w:lang w:eastAsia="ru-RU"/>
        </w:rPr>
        <w:drawing>
          <wp:inline distT="0" distB="0" distL="0" distR="0">
            <wp:extent cx="5940425" cy="3527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riffR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E2" w:rsidRDefault="00E624E2">
      <w:r>
        <w:t xml:space="preserve">Если банк предъявляет требования к новым тарифам, причем такие, что существующие структуры </w:t>
      </w:r>
      <w:proofErr w:type="spellStart"/>
      <w:r>
        <w:rPr>
          <w:lang w:val="en-US"/>
        </w:rPr>
        <w:t>TariffRates</w:t>
      </w:r>
      <w:proofErr w:type="spellEnd"/>
      <w:r w:rsidRPr="00E624E2">
        <w:t xml:space="preserve">_1, </w:t>
      </w:r>
      <w:proofErr w:type="spellStart"/>
      <w:r>
        <w:rPr>
          <w:lang w:val="en-US"/>
        </w:rPr>
        <w:t>TariffRates</w:t>
      </w:r>
      <w:proofErr w:type="spellEnd"/>
      <w:r w:rsidRPr="00E624E2">
        <w:t>_</w:t>
      </w:r>
      <w:r w:rsidRPr="00E624E2">
        <w:t xml:space="preserve">2, </w:t>
      </w:r>
      <w:proofErr w:type="spellStart"/>
      <w:r>
        <w:rPr>
          <w:lang w:val="en-US"/>
        </w:rPr>
        <w:t>TariffRates</w:t>
      </w:r>
      <w:proofErr w:type="spellEnd"/>
      <w:r w:rsidRPr="00E624E2">
        <w:t>_</w:t>
      </w:r>
      <w:proofErr w:type="gramStart"/>
      <w:r w:rsidRPr="00E624E2">
        <w:t xml:space="preserve">3  </w:t>
      </w:r>
      <w:r>
        <w:t>не</w:t>
      </w:r>
      <w:proofErr w:type="gramEnd"/>
      <w:r>
        <w:t xml:space="preserve"> подходят для </w:t>
      </w:r>
      <w:r w:rsidR="00140B0B">
        <w:t>хранения ставок и диапазонных величин</w:t>
      </w:r>
      <w:r>
        <w:t xml:space="preserve">, то должны быть разработаны новые структуры - </w:t>
      </w:r>
      <w:proofErr w:type="spellStart"/>
      <w:r>
        <w:rPr>
          <w:lang w:val="en-US"/>
        </w:rPr>
        <w:t>TariffRates</w:t>
      </w:r>
      <w:proofErr w:type="spellEnd"/>
      <w:r w:rsidRPr="00E624E2">
        <w:t>_</w:t>
      </w:r>
      <w:r>
        <w:t>4</w:t>
      </w:r>
      <w:r w:rsidRPr="00E624E2">
        <w:t xml:space="preserve">, </w:t>
      </w:r>
      <w:proofErr w:type="spellStart"/>
      <w:r>
        <w:rPr>
          <w:lang w:val="en-US"/>
        </w:rPr>
        <w:t>TariffRates</w:t>
      </w:r>
      <w:proofErr w:type="spellEnd"/>
      <w:r w:rsidRPr="00E624E2">
        <w:t>_</w:t>
      </w:r>
      <w:r>
        <w:t xml:space="preserve">5 и т.д.  </w:t>
      </w:r>
      <w:r w:rsidRPr="00E624E2">
        <w:t xml:space="preserve"> </w:t>
      </w:r>
      <w:r w:rsidR="00140B0B">
        <w:t>а также новые алгоритмы расчета таких тарифов.</w:t>
      </w:r>
    </w:p>
    <w:p w:rsidR="00140B0B" w:rsidRDefault="00140B0B"/>
    <w:p w:rsidR="00140B0B" w:rsidRDefault="00140B0B">
      <w:r>
        <w:t xml:space="preserve">Пример кода </w:t>
      </w:r>
      <w:proofErr w:type="gramStart"/>
      <w:r w:rsidR="00BC0BA4">
        <w:t xml:space="preserve">класса  </w:t>
      </w:r>
      <w:r>
        <w:t>на</w:t>
      </w:r>
      <w:proofErr w:type="gramEnd"/>
      <w:r>
        <w:t xml:space="preserve"> </w:t>
      </w:r>
      <w:proofErr w:type="spellStart"/>
      <w:r>
        <w:t>жаве</w:t>
      </w:r>
      <w:proofErr w:type="spellEnd"/>
      <w:r>
        <w:t xml:space="preserve"> по расчету тарифа:</w:t>
      </w:r>
    </w:p>
    <w:p w:rsidR="00140B0B" w:rsidRPr="001D26E3" w:rsidRDefault="001D26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78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i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A4" w:rsidRDefault="00BC0BA4">
      <w:r>
        <w:t xml:space="preserve">На конкретном примере, наименование вида тарифа, класс тарифа, схема (30\360) задается разработчиком через </w:t>
      </w:r>
      <w:proofErr w:type="spellStart"/>
      <w:r>
        <w:t>жава</w:t>
      </w:r>
      <w:proofErr w:type="spellEnd"/>
      <w:r>
        <w:t xml:space="preserve"> аннотации. Значения этих аннотаций анализируется при старте приложения и </w:t>
      </w:r>
      <w:r w:rsidR="004B60A2">
        <w:t xml:space="preserve">самостоятельно </w:t>
      </w:r>
      <w:r>
        <w:t>записываются в БД в системный справочник видов тарифов. Этим самым немного облегчаем жизнь сопровождению.</w:t>
      </w:r>
    </w:p>
    <w:p w:rsidR="00BC0BA4" w:rsidRPr="00BC0BA4" w:rsidRDefault="00BC0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7985" cy="20804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0B" w:rsidRDefault="00140B0B" w:rsidP="00140B0B">
      <w:pPr>
        <w:pStyle w:val="a3"/>
        <w:numPr>
          <w:ilvl w:val="0"/>
          <w:numId w:val="1"/>
        </w:numPr>
      </w:pPr>
      <w:r>
        <w:t>Из-за нехватки времени не упомянул, что русскоязычные наименования полей (</w:t>
      </w:r>
      <w:proofErr w:type="spellStart"/>
      <w:r>
        <w:t>лейблбоксы</w:t>
      </w:r>
      <w:proofErr w:type="spellEnd"/>
      <w:r>
        <w:t xml:space="preserve">) а также их </w:t>
      </w:r>
      <w:proofErr w:type="spellStart"/>
      <w:r>
        <w:t>тултипы</w:t>
      </w:r>
      <w:proofErr w:type="spellEnd"/>
      <w:r>
        <w:t xml:space="preserve">, на карточках сделок могут быть изменены пользователями прямо на месте. </w:t>
      </w:r>
      <w:r w:rsidR="001D26E3">
        <w:t>Можно задать</w:t>
      </w:r>
      <w:r>
        <w:t xml:space="preserve"> свои</w:t>
      </w:r>
      <w:r w:rsidR="001D26E3">
        <w:t xml:space="preserve"> наименования</w:t>
      </w:r>
      <w:r w:rsidR="00D658A2" w:rsidRPr="00D658A2">
        <w:t xml:space="preserve"> </w:t>
      </w:r>
      <w:r w:rsidR="00D658A2">
        <w:t>полей</w:t>
      </w:r>
      <w:r>
        <w:t>, если не нравятся те названия, которые задал разработчик. Задать можно как для всех пользователе</w:t>
      </w:r>
      <w:r w:rsidR="004B60A2">
        <w:t>й</w:t>
      </w:r>
      <w:r>
        <w:t xml:space="preserve">, так и конкретно для себя. При желании можно вернуться к «заводским наименованиям», сделав сброс. Новые </w:t>
      </w:r>
      <w:r w:rsidR="001D26E3">
        <w:t xml:space="preserve">заданные </w:t>
      </w:r>
      <w:r>
        <w:t>наименования хранятся в БД.</w:t>
      </w:r>
      <w:r w:rsidR="004B60A2">
        <w:t xml:space="preserve"> Актуально для всех карточек сделок.</w:t>
      </w:r>
    </w:p>
    <w:p w:rsidR="004B60A2" w:rsidRDefault="004B60A2" w:rsidP="004B60A2">
      <w:pPr>
        <w:pStyle w:val="a3"/>
      </w:pPr>
      <w:r>
        <w:lastRenderedPageBreak/>
        <w:t xml:space="preserve">Дефолтные наименования полей также задаются через аннотации, на самих полях договора. При желании, также можно через аннотации задать </w:t>
      </w:r>
      <w:r w:rsidR="001D26E3">
        <w:t xml:space="preserve">дефолтные </w:t>
      </w:r>
      <w:r>
        <w:t>англоязычные наименования полей, и регулировать настроечным параметром</w:t>
      </w:r>
      <w:r w:rsidR="001D26E3">
        <w:t>\константой</w:t>
      </w:r>
      <w:r>
        <w:t>, какие именно дефолтные значения вытаскивать на карточку сделки: русскоязычные или англоязычные.</w:t>
      </w:r>
    </w:p>
    <w:p w:rsidR="004B60A2" w:rsidRDefault="004B60A2" w:rsidP="004B60A2">
      <w:pPr>
        <w:pStyle w:val="a3"/>
      </w:pPr>
    </w:p>
    <w:p w:rsidR="004B60A2" w:rsidRDefault="004B60A2" w:rsidP="004B60A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5288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A2" w:rsidRDefault="004B60A2" w:rsidP="004B60A2">
      <w:pPr>
        <w:pStyle w:val="a3"/>
      </w:pPr>
    </w:p>
    <w:p w:rsidR="004B60A2" w:rsidRDefault="004B60A2" w:rsidP="004B60A2">
      <w:pPr>
        <w:pStyle w:val="a3"/>
      </w:pPr>
    </w:p>
    <w:p w:rsidR="00140B0B" w:rsidRDefault="00A9686F" w:rsidP="00140B0B">
      <w:pPr>
        <w:pStyle w:val="a3"/>
        <w:numPr>
          <w:ilvl w:val="0"/>
          <w:numId w:val="1"/>
        </w:numPr>
      </w:pPr>
      <w:r>
        <w:t>Для анализа производительности работы подсистемы и расчета платности за оказываемые услуги можно сделать сравнительный нагрузочный тест по реальным данным. Сравнить, как быстро отработает начисление по депозитам за январь 2019.</w:t>
      </w:r>
    </w:p>
    <w:p w:rsidR="00A9686F" w:rsidRDefault="00A9686F" w:rsidP="00A9686F">
      <w:pPr>
        <w:pStyle w:val="a3"/>
      </w:pPr>
    </w:p>
    <w:p w:rsidR="00A9686F" w:rsidRDefault="00A9686F" w:rsidP="00A9686F">
      <w:pPr>
        <w:pStyle w:val="a3"/>
      </w:pPr>
      <w:r>
        <w:t xml:space="preserve">Для этого нужны </w:t>
      </w:r>
      <w:r w:rsidRPr="00EE0895">
        <w:rPr>
          <w:u w:val="single"/>
        </w:rPr>
        <w:t>обезличенные</w:t>
      </w:r>
      <w:r>
        <w:t xml:space="preserve"> данные по </w:t>
      </w:r>
      <w:proofErr w:type="spellStart"/>
      <w:r>
        <w:t>бибовским</w:t>
      </w:r>
      <w:proofErr w:type="spellEnd"/>
      <w:r>
        <w:t xml:space="preserve"> депозитам, с историей остатков хотя бы за 2019 год. Для этого нужна выгрузка из </w:t>
      </w:r>
      <w:proofErr w:type="spellStart"/>
      <w:r>
        <w:t>тода</w:t>
      </w:r>
      <w:proofErr w:type="spellEnd"/>
      <w:r>
        <w:t xml:space="preserve"> </w:t>
      </w:r>
      <w:r w:rsidRPr="00EE0895">
        <w:rPr>
          <w:u w:val="single"/>
        </w:rPr>
        <w:t>обезличенных</w:t>
      </w:r>
      <w:r>
        <w:t xml:space="preserve"> клиентов, которые имеют депозиты. Буквально в виде: ид клиента, валюта договора, ид договора, дата заключения, дата завершения, </w:t>
      </w:r>
      <w:r w:rsidR="00EE0895">
        <w:t xml:space="preserve">сумма исходящего остатка за 31.12.2018, </w:t>
      </w:r>
      <w:r>
        <w:t xml:space="preserve">наименование клиента (клиент1, клиент2, </w:t>
      </w:r>
      <w:proofErr w:type="spellStart"/>
      <w:r>
        <w:t>клиентХХ</w:t>
      </w:r>
      <w:proofErr w:type="spellEnd"/>
      <w:r>
        <w:t>). И выгрузка остатков: ид договора, дата остатка, сумма остатка.</w:t>
      </w:r>
    </w:p>
    <w:p w:rsidR="00A9686F" w:rsidRDefault="00A9686F" w:rsidP="00A9686F">
      <w:pPr>
        <w:pStyle w:val="a3"/>
      </w:pPr>
    </w:p>
    <w:p w:rsidR="00A9686F" w:rsidRDefault="00A9686F" w:rsidP="00A9686F">
      <w:pPr>
        <w:pStyle w:val="a3"/>
      </w:pPr>
      <w:r>
        <w:t>Я организую загрузку таких данных</w:t>
      </w:r>
      <w:r w:rsidR="00EE0895">
        <w:t xml:space="preserve"> в свою БД (</w:t>
      </w:r>
      <w:proofErr w:type="spellStart"/>
      <w:r w:rsidR="00EE0895">
        <w:t>Постгрес</w:t>
      </w:r>
      <w:proofErr w:type="spellEnd"/>
      <w:r w:rsidR="00EE0895">
        <w:t>)</w:t>
      </w:r>
      <w:r>
        <w:t xml:space="preserve">, завожу тип </w:t>
      </w:r>
      <w:r w:rsidR="00EE0895">
        <w:t xml:space="preserve">новый </w:t>
      </w:r>
      <w:r>
        <w:t xml:space="preserve">сущности «Депозитный договор физического лица», дорабатываю новый тариф под депозитный договор, и </w:t>
      </w:r>
      <w:r w:rsidR="00EE0895">
        <w:t xml:space="preserve">дорабатываю массовое начисление с отражением в </w:t>
      </w:r>
      <w:proofErr w:type="spellStart"/>
      <w:r w:rsidR="00EE0895">
        <w:t>финучете</w:t>
      </w:r>
      <w:proofErr w:type="spellEnd"/>
      <w:r w:rsidR="00EE0895">
        <w:t>.</w:t>
      </w:r>
    </w:p>
    <w:p w:rsidR="00EE0895" w:rsidRPr="00E624E2" w:rsidRDefault="00EE0895" w:rsidP="00A9686F">
      <w:pPr>
        <w:pStyle w:val="a3"/>
      </w:pPr>
      <w:r>
        <w:lastRenderedPageBreak/>
        <w:t xml:space="preserve">Начисление будет реализовано через </w:t>
      </w:r>
      <w:proofErr w:type="spellStart"/>
      <w:r>
        <w:t>многопоточность</w:t>
      </w:r>
      <w:proofErr w:type="spellEnd"/>
      <w:r>
        <w:t xml:space="preserve"> и с применением параллельного программирования в </w:t>
      </w:r>
      <w:proofErr w:type="spellStart"/>
      <w:r>
        <w:t>жаве</w:t>
      </w:r>
      <w:proofErr w:type="spellEnd"/>
      <w:r>
        <w:t>.</w:t>
      </w:r>
      <w:bookmarkStart w:id="0" w:name="_GoBack"/>
      <w:bookmarkEnd w:id="0"/>
    </w:p>
    <w:sectPr w:rsidR="00EE0895" w:rsidRPr="00E6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75038"/>
    <w:multiLevelType w:val="hybridMultilevel"/>
    <w:tmpl w:val="BB1CA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7C"/>
    <w:rsid w:val="00140B0B"/>
    <w:rsid w:val="001D26E3"/>
    <w:rsid w:val="002D3DCB"/>
    <w:rsid w:val="004B60A2"/>
    <w:rsid w:val="0060667C"/>
    <w:rsid w:val="007407A2"/>
    <w:rsid w:val="00A9686F"/>
    <w:rsid w:val="00BC0BA4"/>
    <w:rsid w:val="00C40CE3"/>
    <w:rsid w:val="00D658A2"/>
    <w:rsid w:val="00E624E2"/>
    <w:rsid w:val="00E62955"/>
    <w:rsid w:val="00E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29228-3419-4B53-8363-2718D908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Козыро Дмитрий</dc:creator>
  <cp:keywords/>
  <dc:description/>
  <cp:lastModifiedBy>Козыро Дмитрий</cp:lastModifiedBy>
  <cp:revision>2</cp:revision>
  <dcterms:created xsi:type="dcterms:W3CDTF">2020-02-04T19:53:00Z</dcterms:created>
  <dcterms:modified xsi:type="dcterms:W3CDTF">2020-02-04T21:51:00Z</dcterms:modified>
</cp:coreProperties>
</file>