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38100" distR="38100" simplePos="0" relativeHeight="125829378" behindDoc="0" locked="0" layoutInCell="1" allowOverlap="1">
            <wp:simplePos x="0" y="0"/>
            <wp:positionH relativeFrom="page">
              <wp:posOffset>437515</wp:posOffset>
            </wp:positionH>
            <wp:positionV relativeFrom="paragraph">
              <wp:posOffset>880110</wp:posOffset>
            </wp:positionV>
            <wp:extent cx="694690" cy="20129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94690" cy="2012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379" behindDoc="0" locked="0" layoutInCell="1" allowOverlap="1">
            <wp:simplePos x="0" y="0"/>
            <wp:positionH relativeFrom="page">
              <wp:posOffset>3827780</wp:posOffset>
            </wp:positionH>
            <wp:positionV relativeFrom="paragraph">
              <wp:posOffset>12700</wp:posOffset>
            </wp:positionV>
            <wp:extent cx="658495" cy="621665"/>
            <wp:wrapSquare wrapText="bothSides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58495" cy="621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Дзяржаунае вы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норчае аб'яднанпе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•).'ici\Tpa &gt;iicpjcibiKi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«БЕЛЭНЕРГА»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Гомельские рэспуб.пканскае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yui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1 арнае</w:t>
        <w:br/>
        <w:t xml:space="preserve">прадпрыеме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ва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vicicrpa niepi ei i&gt;n&lt;i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«Гомсльэнер! а»</w:t>
        <w:br/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(РУП «ГОМЕЛ ЬЭНЕРГЛ»)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center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 осударс ! венное произволе!венное объединение</w:t>
        <w:br/>
        <w:t xml:space="preserve">злсктроэнергетики «БЕЛЭ1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IEPI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Гомельское республиканское унитарное</w:t>
        <w:br/>
        <w:t>предприятие электроэнергетики «Гомельэиер! о»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9"/>
          <w:footnotePr>
            <w:pos w:val="pageBottom"/>
            <w:numFmt w:val="decimal"/>
            <w:numRestart w:val="continuous"/>
          </w:footnotePr>
          <w:pgSz w:w="11900" w:h="16840"/>
          <w:pgMar w:top="860" w:right="615" w:bottom="843" w:left="1949" w:header="0" w:footer="415" w:gutter="0"/>
          <w:pgNumType w:start="1"/>
          <w:cols w:num="2" w:space="143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(РУ П «ГО М ЕЛ ЬЭ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Е Р ГО»)</w:t>
      </w:r>
    </w:p>
    <w:p>
      <w:pPr>
        <w:widowControl w:val="0"/>
        <w:spacing w:before="110" w:after="11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60" w:right="0" w:bottom="84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1600" w:firstLine="0"/>
        <w:jc w:val="right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2074545</wp:posOffset>
                </wp:positionH>
                <wp:positionV relativeFrom="paragraph">
                  <wp:posOffset>12700</wp:posOffset>
                </wp:positionV>
                <wp:extent cx="692785" cy="655955"/>
                <wp:wrapSquare wrapText="righ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2785" cy="6559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ЗАГАД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ru-RU" w:eastAsia="ru-RU" w:bidi="ru-RU"/>
                              </w:rPr>
                              <w:t>I. Гомель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63.34999999999999pt;margin-top:1.pt;width:54.550000000000004pt;height:51.649999999999999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0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ЗАГАД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4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ru-RU" w:eastAsia="ru-RU" w:bidi="ru-RU"/>
                        </w:rPr>
                        <w:t>I. Гомель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ПРИКАЗ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г. Гомель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Об организации закупки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соответствии с решением протокола заседания секции развития и эксплуатации энергосистем, электрических сетей и электротехнического оборудования (электротехническая секция) технико-экономического совета от 06.10.2022 №11-18/4 о внедрении информационной системы диспетчерского управления (ИАСДУ) электрическими сетями РУП «Гомельэнерго» в объёме Гомельского городского РЭС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ПРИКАЗЫВАЮ: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0" w:val="left"/>
        </w:tabs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Филиалу «Гомельские электрические сети» РУП «Гомельэнерго» (далее - Заказчик) организовать проведение закупки програмного обеспечения ИАСДУ с комплексом услуг по внедрению программного обеспечения ИАСДУ в соответствии с требованиями законодательства и локальных правовых актов РУП «Гомельэнерго», включив в состав комиссии по закупке представителей филиала «Инженерный центр» РУП «Гомельэнерго» - по согласованию с директором указанного филиала, а также представителей аппарата управления РУН «Гомельэнерго»: начальника ЦДС Шкуратова П.М., заместителя начальника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IOO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Гарусову А.В.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86" w:val="left"/>
        </w:tabs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Для разработки задания на закупку директору Заказчика своим приказом создать экспертную рабочую группу из числа работников Заказчика, работников филиала «Инженерный центр» РУП «Гомельэнерго» - по согласованию с директором указанного филиала, а также представителей аппарата управления РУП «Гомельэнерго»: начальника СЭС Спивака Д.А., заместителя начальника ЦДС по режимной части Приходько А.И.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82" w:val="left"/>
        </w:tabs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Филиалу «Гомельские электрические сети» РУП «Гомельэнерго» по результатам проведения закупки программного обеспечения ИАСДУ с комплексом услуг по внедрению программного обеспечения ИАСДУ обеспечить заключение договора, его исполнение, учет и контроль исполнения в соответствии с локальными актами филиала.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79" w:val="left"/>
        </w:tabs>
        <w:bidi w:val="0"/>
        <w:spacing w:before="0" w:after="24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Контроль за исполнением приказа возложить на директора филиала «Гомельские электрические сети» РУП «Гомельэнерго» Сушанова Г.А.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И.о. генерального директора -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первый заместитель генерального директора -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7841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главный инженер предприятия</w:t>
        <w:tab/>
        <w:t>В.А.Толкцн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ru-RU" w:eastAsia="ru-RU" w:bidi="ru-RU"/>
        </w:rPr>
        <w:t>5(Ю()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860" w:right="576" w:bottom="843" w:left="175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6719570</wp:posOffset>
              </wp:positionH>
              <wp:positionV relativeFrom="page">
                <wp:posOffset>472440</wp:posOffset>
              </wp:positionV>
              <wp:extent cx="422910" cy="730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2910" cy="730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shd w:val="clear" w:color="auto" w:fill="auto"/>
                              <w:lang w:val="ru-RU" w:eastAsia="ru-RU" w:bidi="ru-RU"/>
                            </w:rPr>
                            <w:t>0010502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ru-RU" w:eastAsia="ru-RU" w:bidi="ru-RU"/>
                            </w:rPr>
                            <w:t>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29.10000000000002pt;margin-top:37.200000000000003pt;width:33.299999999999997pt;height:5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shd w:val="clear" w:color="auto" w:fill="auto"/>
                        <w:lang w:val="ru-RU" w:eastAsia="ru-RU" w:bidi="ru-RU"/>
                      </w:rPr>
                      <w:t>0010502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ru-RU" w:eastAsia="ru-RU" w:bidi="ru-RU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Основной текст (2)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6">
    <w:name w:val="Колонтитул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Основной текст (3)_"/>
    <w:basedOn w:val="DefaultParagraphFont"/>
    <w:link w:val="Style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Основной текст_"/>
    <w:basedOn w:val="DefaultParagraphFont"/>
    <w:link w:val="Style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7">
    <w:name w:val="Основной текст (4)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">
    <w:name w:val="Основной текст (2)"/>
    <w:basedOn w:val="Normal"/>
    <w:link w:val="CharStyle3"/>
    <w:pPr>
      <w:widowControl w:val="0"/>
      <w:shd w:val="clear" w:color="auto" w:fill="auto"/>
      <w:spacing w:line="254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paragraph" w:customStyle="1" w:styleId="Style5">
    <w:name w:val="Колонтитул (2)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Основной текст (3)"/>
    <w:basedOn w:val="Normal"/>
    <w:link w:val="CharStyle11"/>
    <w:pPr>
      <w:widowControl w:val="0"/>
      <w:shd w:val="clear" w:color="auto" w:fill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Основной текст"/>
    <w:basedOn w:val="Normal"/>
    <w:link w:val="CharStyle13"/>
    <w:pPr>
      <w:widowControl w:val="0"/>
      <w:shd w:val="clear" w:color="auto" w:fill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16">
    <w:name w:val="Основной текст (4)"/>
    <w:basedOn w:val="Normal"/>
    <w:link w:val="CharStyle17"/>
    <w:pPr>
      <w:widowControl w:val="0"/>
      <w:shd w:val="clear" w:color="auto" w:fill="auto"/>
      <w:spacing w:after="700"/>
      <w:ind w:right="1600"/>
      <w:jc w:val="right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header" Target="header1.xml"/></Relationships>
</file>