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155131">
      <w:pPr>
        <w:numPr>
          <w:ilvl w:val="0"/>
          <w:numId w:val="1"/>
        </w:numP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Group Policy</w:t>
      </w:r>
    </w:p>
    <w:p w14:paraId="2B73BAC1">
      <w:pPr>
        <w:numPr>
          <w:ilvl w:val="1"/>
          <w:numId w:val="1"/>
        </w:numP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Creating a Group Policy Object Using the GPMC</w:t>
      </w:r>
    </w:p>
    <w:p w14:paraId="0800CFB9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5C63182A">
      <w:pPr>
        <w:numPr>
          <w:numId w:val="0"/>
        </w:numPr>
        <w:rPr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71135" cy="3937000"/>
            <wp:effectExtent l="0" t="0" r="190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338A">
      <w:pPr>
        <w:numPr>
          <w:numId w:val="0"/>
        </w:numPr>
        <w:rPr>
          <w:color w:val="5B9BD5" w:themeColor="accent1"/>
          <w14:textFill>
            <w14:solidFill>
              <w14:schemeClr w14:val="accent1"/>
            </w14:solidFill>
          </w14:textFill>
        </w:rPr>
      </w:pPr>
    </w:p>
    <w:p w14:paraId="63D8B04F"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Linking Existing GPOs to Active Directory</w:t>
      </w:r>
    </w:p>
    <w:p w14:paraId="1242C1A2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58416324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71135" cy="3709035"/>
            <wp:effectExtent l="0" t="0" r="19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97633"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Filtering Group Policy Using Security Groups</w:t>
      </w:r>
    </w:p>
    <w:p w14:paraId="59D92CA4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22389AE6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71135" cy="3641725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4691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</w:p>
    <w:p w14:paraId="47BE7A5A"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Delegating Administrative Control of Group Policy</w:t>
      </w:r>
    </w:p>
    <w:p w14:paraId="09BBF442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09B6A297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  <w:bookmarkStart w:id="0" w:name="_GoBack"/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9865" cy="3690620"/>
            <wp:effectExtent l="0" t="0" r="317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1E055316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</w:p>
    <w:p w14:paraId="6F4788B2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</w:p>
    <w:p w14:paraId="33B44D45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</w:p>
    <w:p w14:paraId="740C6291"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Configuring Automatic Certificate Enrollment in Group Policy</w:t>
      </w:r>
    </w:p>
    <w:p w14:paraId="45D64214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083BAC9C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9230" cy="3797935"/>
            <wp:effectExtent l="0" t="0" r="381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3120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</w:p>
    <w:p w14:paraId="0216F213">
      <w:pPr>
        <w:numPr>
          <w:ilvl w:val="1"/>
          <w:numId w:val="1"/>
        </w:numPr>
        <w:ind w:left="0" w:leftChars="0" w:firstLine="0" w:firstLine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Configuring Folder Redirection in Group Policy</w:t>
      </w:r>
    </w:p>
    <w:p w14:paraId="4C974EC0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67325" cy="3836035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8DB74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</w:p>
    <w:p w14:paraId="64B1F1F2">
      <w:pPr>
        <w:numPr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</w:p>
    <w:p w14:paraId="00E3BCE9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120" w:beforeAutospacing="0" w:after="0" w:afterAutospacing="0" w:line="14" w:lineRule="atLeast"/>
        <w:ind w:left="0" w:leftChars="0" w:firstLine="0" w:firstLine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shd w:val="clear" w:fill="FFFFFF"/>
          <w:vertAlign w:val="baseline"/>
          <w14:textFill>
            <w14:solidFill>
              <w14:schemeClr w14:val="accent1"/>
            </w14:solidFill>
          </w14:textFill>
        </w:rPr>
        <w:t>Configuring Security</w:t>
      </w:r>
    </w:p>
    <w:p w14:paraId="692A95C9">
      <w:pPr>
        <w:pStyle w:val="3"/>
        <w:keepNext w:val="0"/>
        <w:keepLines w:val="0"/>
        <w:widowControl/>
        <w:numPr>
          <w:numId w:val="0"/>
        </w:numPr>
        <w:suppressLineNumbers w:val="0"/>
        <w:shd w:val="clear" w:fill="FFFFFF"/>
        <w:bidi w:val="0"/>
        <w:spacing w:before="0" w:beforeAutospacing="0" w:after="120" w:afterAutospacing="0" w:line="14" w:lineRule="atLeast"/>
        <w:ind w:leftChars="0"/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shd w:val="clear" w:fill="FFFFFF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shd w:val="clear" w:fill="FFFFFF"/>
          <w:vertAlign w:val="baseline"/>
          <w:lang w:val="en-US"/>
          <w14:textFill>
            <w14:solidFill>
              <w14:schemeClr w14:val="accent1"/>
            </w14:solidFill>
          </w14:textFill>
        </w:rPr>
        <w:t xml:space="preserve">11.1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shd w:val="clear" w:fill="FFFFFF"/>
          <w:vertAlign w:val="baseline"/>
          <w14:textFill>
            <w14:solidFill>
              <w14:schemeClr w14:val="accent1"/>
            </w14:solidFill>
          </w14:textFill>
        </w:rPr>
        <w:t>Windows Defender Security Center</w:t>
      </w:r>
    </w:p>
    <w:p w14:paraId="410A16A3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bidi w:val="0"/>
        <w:spacing w:before="0" w:beforeAutospacing="0" w:after="120" w:afterAutospacing="0" w:line="14" w:lineRule="atLeast"/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727700" cy="3220085"/>
            <wp:effectExtent l="0" t="0" r="2540" b="1079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D19E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bidi w:val="0"/>
        <w:spacing w:before="0" w:beforeAutospacing="0" w:after="120" w:afterAutospacing="0" w:line="14" w:lineRule="atLeast"/>
        <w:ind w:leftChars="0"/>
        <w:rPr>
          <w:rFonts w:hint="default"/>
          <w:color w:val="5B9BD5" w:themeColor="accent1"/>
          <w14:textFill>
            <w14:solidFill>
              <w14:schemeClr w14:val="accent1"/>
            </w14:solidFill>
          </w14:textFill>
        </w:rPr>
      </w:pPr>
    </w:p>
    <w:p w14:paraId="76FFC8D7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:lang w:val="en-US"/>
          <w14:textFill>
            <w14:solidFill>
              <w14:schemeClr w14:val="accent1"/>
            </w14:solidFill>
          </w14:textFill>
        </w:rPr>
        <w:t xml:space="preserve">11.2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Configuring Windows Firewall</w:t>
      </w:r>
    </w:p>
    <w:p w14:paraId="3691B38E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727700" cy="3220085"/>
            <wp:effectExtent l="0" t="0" r="2540" b="10795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522A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:lang w:val="en-US"/>
          <w14:textFill>
            <w14:solidFill>
              <w14:schemeClr w14:val="accent1"/>
            </w14:solidFill>
          </w14:textFill>
        </w:rPr>
        <w:t xml:space="preserve">11.3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Windows Firewall with Advanced Security (WFAS)</w:t>
      </w:r>
    </w:p>
    <w:p w14:paraId="11F3A606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727700" cy="3220085"/>
            <wp:effectExtent l="0" t="0" r="2540" b="1079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AFF1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:lang w:val="en-US"/>
          <w14:textFill>
            <w14:solidFill>
              <w14:schemeClr w14:val="accent1"/>
            </w14:solidFill>
          </w14:textFill>
        </w:rPr>
        <w:t xml:space="preserve">11.4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Installing Windows Defender Application Guard</w:t>
      </w:r>
    </w:p>
    <w:p w14:paraId="55CD5A7D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727700" cy="3220085"/>
            <wp:effectExtent l="0" t="0" r="2540" b="1079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C142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11.5. Using Windows Defender Application Guard</w:t>
      </w:r>
    </w:p>
    <w:p w14:paraId="756F4D92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11.6. Windows Defender Application Guard Enterprise</w:t>
      </w:r>
    </w:p>
    <w:p w14:paraId="66470B53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701870E1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43261B91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7B49289B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7855B24B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58D95BD8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7738BAF0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73BE3D85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428A411D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11.7. Windows Defender Credential Guard</w:t>
      </w:r>
    </w:p>
    <w:p w14:paraId="331B976C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58B5F906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39D6D05B">
      <w:pPr>
        <w:numPr>
          <w:ilvl w:val="0"/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727700" cy="3220085"/>
            <wp:effectExtent l="0" t="0" r="2540" b="10795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969E">
      <w:pPr>
        <w:numPr>
          <w:ilvl w:val="0"/>
          <w:numId w:val="0"/>
        </w:numPr>
        <w:ind w:leftChars="0"/>
        <w:rPr>
          <w:color w:val="5B9BD5" w:themeColor="accent1"/>
          <w14:textFill>
            <w14:solidFill>
              <w14:schemeClr w14:val="accent1"/>
            </w14:solidFill>
          </w14:textFill>
        </w:rPr>
      </w:pPr>
    </w:p>
    <w:p w14:paraId="62BF8850">
      <w:pPr>
        <w:numPr>
          <w:ilvl w:val="0"/>
          <w:numId w:val="0"/>
        </w:numPr>
        <w:ind w:leftChars="0"/>
        <w:rPr>
          <w:rFonts w:hint="default"/>
          <w:color w:val="5B9BD5" w:themeColor="accent1"/>
          <w14:textFill>
            <w14:solidFill>
              <w14:schemeClr w14:val="accent1"/>
            </w14:solidFill>
          </w14:textFill>
        </w:rPr>
      </w:pPr>
    </w:p>
    <w:p w14:paraId="59DF6CD7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  <w:t>11.8. Windows Defender Exploit Guard</w:t>
      </w:r>
    </w:p>
    <w:p w14:paraId="076DCCF2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7AB7DFFF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14:textFill>
            <w14:solidFill>
              <w14:schemeClr w14:val="accent1"/>
            </w14:solidFill>
          </w14:textFill>
        </w:rPr>
      </w:pPr>
    </w:p>
    <w:p w14:paraId="48D194B9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b/>
          <w:bCs/>
          <w:i w:val="0"/>
          <w:iCs w:val="0"/>
          <w:color w:val="5B9BD5" w:themeColor="accent1"/>
          <w:sz w:val="28"/>
          <w:szCs w:val="28"/>
          <w:u w:val="none"/>
          <w:vertAlign w:val="baseline"/>
          <w:lang w:val="en-US"/>
          <w14:textFill>
            <w14:solidFill>
              <w14:schemeClr w14:val="accent1"/>
            </w14:solidFill>
          </w14:textFill>
        </w:rPr>
      </w:pPr>
      <w:r>
        <w:rPr>
          <w:color w:val="5B9BD5" w:themeColor="accent1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727700" cy="3220085"/>
            <wp:effectExtent l="0" t="0" r="2540" b="10795"/>
            <wp:docPr id="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B54E">
      <w:pPr>
        <w:numPr>
          <w:numId w:val="0"/>
        </w:numPr>
        <w:ind w:leftChars="0"/>
        <w:rPr>
          <w:rFonts w:hint="default"/>
          <w:color w:val="5B9BD5" w:themeColor="accent1"/>
          <w14:textFill>
            <w14:solidFill>
              <w14:schemeClr w14:val="accent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AB183D"/>
    <w:multiLevelType w:val="multilevel"/>
    <w:tmpl w:val="4CAB183D"/>
    <w:lvl w:ilvl="0" w:tentative="0">
      <w:start w:val="10"/>
      <w:numFmt w:val="decimal"/>
      <w:suff w:val="space"/>
      <w:lvlText w:val="%1."/>
      <w:lvlJc w:val="left"/>
      <w:rPr>
        <w:rFonts w:hint="default"/>
        <w:b/>
        <w:bCs/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AB6909"/>
    <w:rsid w:val="52AB6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vi-VN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2025-04-06T07:12:00Z</dcterms:created>
  <dc:creator>acer</dc:creator>
  <cp:lastModifiedBy>Quốc Bảo</cp:lastModifiedBy>
  <dcterms:modified xsi:type="dcterms:W3CDTF">2025-04-06T08:25:12Z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87D335CE50A14AF6AB58E96B131B1FA4_11</vt:lpwstr>
  </property>
</Properties>
</file>