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>
          <w:rStyle w:val="Strong"/>
          <w:rFonts w:ascii="TIMES NEW ROMAN" w:hAnsi="TIMES NEW ROMAN"/>
          <w:b/>
          <w:bCs/>
        </w:rPr>
        <w:t>1.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Ovaj izveštaj dokumentuje digitalnu forenzičku istragu sprovedenu na Linux sistemu za koji se sumnjalo da je kompromitovan. Tim je odmah po otkrivanju potencijalnog incidenta primenio odgovarajuće protokole očuvanja dokaza i započeo analizu.</w:t>
      </w:r>
      <w:r>
        <w:rPr>
          <w:rFonts w:ascii="TIMES NEW ROMAN" w:hAnsi="TIMES NEW ROMAN"/>
        </w:rPr>
        <w:br/>
        <w:br/>
        <w:br/>
      </w:r>
      <w:r>
        <w:rPr>
          <w:rStyle w:val="Strong"/>
          <w:rFonts w:ascii="TIMES NEW ROMAN" w:hAnsi="TIMES NEW ROMAN"/>
          <w:b/>
          <w:bCs/>
        </w:rPr>
        <w:t>2. Prvi znaci kompromitovanja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Na osnovu prvih pregleda sistema, uočeni su sledeći znaci kompromitovanja: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Prisustvo nepoznatih skripti u direktorijumu </w:t>
      </w:r>
      <w:r>
        <w:rPr>
          <w:rStyle w:val="SourceText"/>
          <w:rFonts w:ascii="TIMES NEW ROMAN" w:hAnsi="TIMES NEW ROMAN"/>
        </w:rPr>
        <w:t>Downloads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Sumnjiva aktivnost u istoriji pregledača (analizom browser history-a)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Prikupljeni tragovi e-mail adresa koje su potencijalno korišćene za komunikaciju napadača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</w:rPr>
        <w:t xml:space="preserve">TCP saobraćaj beležen pomoću </w:t>
      </w:r>
      <w:r>
        <w:rPr>
          <w:rStyle w:val="Strong"/>
          <w:rFonts w:ascii="TIMES NEW ROMAN" w:hAnsi="TIMES NEW ROMAN"/>
        </w:rPr>
        <w:t>Wireshark</w:t>
      </w:r>
      <w:r>
        <w:rPr>
          <w:rFonts w:ascii="TIMES NEW ROMAN" w:hAnsi="TIMES NEW ROMAN"/>
        </w:rPr>
        <w:t>-a ukazuje na zlonamernu aktivnost i otkriva IP adresu napadača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>3. Prvi odgovor tima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ODMAH</w:t>
      </w:r>
      <w:r>
        <w:rPr/>
        <w:t xml:space="preserve"> je napravljena forenzička </w:t>
      </w:r>
      <w:r>
        <w:rPr>
          <w:rStyle w:val="Strong"/>
        </w:rPr>
        <w:t>slika celog diska</w:t>
      </w:r>
      <w:r>
        <w:rPr/>
        <w:t xml:space="preserve"> kompromitovanog sistema, kako bi se sačuvali svi podaci za analizu i sprečilo njihovo dalje oštećenje ili modifikacija.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Snimak diska se koristi kao glavni izvor za analizu i nije bilo direktnog rada na originalnom sistemu.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>4. Analiza mrežnog saobraćaja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Korišćen je alat </w:t>
      </w:r>
      <w:r>
        <w:rPr>
          <w:rStyle w:val="Strong"/>
        </w:rPr>
        <w:t>Wireshark</w:t>
      </w:r>
      <w:r>
        <w:rPr/>
        <w:t xml:space="preserve"> za detaljno praćenje mrežne komunikacije: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Pratili smo </w:t>
      </w:r>
      <w:r>
        <w:rPr>
          <w:rStyle w:val="Strong"/>
        </w:rPr>
        <w:t>TCP tokove</w:t>
      </w:r>
      <w:r>
        <w:rPr/>
        <w:t xml:space="preserve"> i rekonstruisali tokove podataka koje je napadač generisao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Uspeli smo da identifikujemo </w:t>
      </w:r>
      <w:r>
        <w:rPr>
          <w:rStyle w:val="Strong"/>
        </w:rPr>
        <w:t>IP adresu napadača: 3.67.15.169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Whois</w:t>
      </w:r>
      <w:r>
        <w:rPr/>
        <w:t xml:space="preserve"> analiza otkriva da se IP adresa nalazi u vlasništvu kompanije </w:t>
      </w:r>
      <w:r>
        <w:rPr>
          <w:rStyle w:val="Strong"/>
        </w:rPr>
        <w:t>Amazon Technologies Inc.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Nažalost, IP adresa nije dovela direktno do identiteta napadača – kontaktiranje Amazon tehničke podrške je neophodno za dalje korake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>5. Analiza korisničke aktivnosti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Istorija pregledača je ukazala na posete sumnjivim sajtovima koji mogu biti povezani sa isporukom malvera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Sakupljene e-mail adrese su analizirane u kontekstu kompromitovanih naloga ili komunikacije s napadačem</w:t>
      </w:r>
    </w:p>
    <w:p>
      <w:pPr>
        <w:pStyle w:val="Preformatted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bidi w:val="0"/>
        <w:spacing w:before="0" w:after="0"/>
        <w:jc w:val="start"/>
        <w:rPr>
          <w:rStyle w:val="Strong"/>
        </w:rPr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>
          <w:rStyle w:val="Strong"/>
          <w:b/>
          <w:bCs/>
        </w:rPr>
        <w:t>6. Forenzička analiza slike diska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Alat koji smo koristili: </w:t>
      </w:r>
      <w:r>
        <w:rPr>
          <w:rStyle w:val="Strong"/>
        </w:rPr>
        <w:t>Autopsy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Slika diska je analizirana koristeći Autopsy alat (priložene slike iz Autopsy-ja)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Pronađene su sumnjive skripte u korisničkim folderima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-717550</wp:posOffset>
            </wp:positionH>
            <wp:positionV relativeFrom="paragraph">
              <wp:posOffset>48895</wp:posOffset>
            </wp:positionV>
            <wp:extent cx="8539480" cy="3215640"/>
            <wp:effectExtent l="0" t="0" r="0" b="0"/>
            <wp:wrapNone/>
            <wp:docPr id="1" name="Imag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948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3115945</wp:posOffset>
            </wp:positionH>
            <wp:positionV relativeFrom="paragraph">
              <wp:posOffset>151130</wp:posOffset>
            </wp:positionV>
            <wp:extent cx="3723640" cy="2933065"/>
            <wp:effectExtent l="0" t="0" r="0" b="0"/>
            <wp:wrapNone/>
            <wp:docPr id="2" name="Imag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-15240</wp:posOffset>
            </wp:positionV>
            <wp:extent cx="4152900" cy="3514090"/>
            <wp:effectExtent l="0" t="0" r="0" b="0"/>
            <wp:wrapNone/>
            <wp:docPr id="3" name="Imag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2715895</wp:posOffset>
            </wp:positionH>
            <wp:positionV relativeFrom="paragraph">
              <wp:posOffset>21590</wp:posOffset>
            </wp:positionV>
            <wp:extent cx="4123690" cy="2118995"/>
            <wp:effectExtent l="0" t="0" r="0" b="0"/>
            <wp:wrapNone/>
            <wp:docPr id="4" name="Imag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u w:val="single"/>
        </w:rPr>
      </w:pPr>
      <w:r>
        <w:rPr>
          <w:u w:val="single"/>
        </w:rPr>
        <w:t>Preporučene mere: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Resetovanje pristupa korisnicima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Bezbednostni trening za zaposlene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Brisanje svih fajlova i prekid veza napadača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Detaljna analiza logova i postavljanje IDS sistema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Obavezna prijava incidenta relevantnim telima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Dalja saradnja s Amazon Tech podrškom radi pronalaženja izvora napada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Noto Sans Devanaga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suppressAutoHyphens w:val="true"/>
      <w:overflowPunct w:val="false"/>
      <w:bidi w:val="0"/>
      <w:spacing w:lineRule="atLeast" w:line="0" w:before="0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6"/>
    </w:rPr>
  </w:style>
  <w:style w:type="paragraph" w:styleId="TitleA0">
    <w:name w:val="Title A0"/>
    <w:basedOn w:val="A0"/>
    <w:qFormat/>
    <w:pPr/>
    <w:rPr>
      <w:rFonts w:ascii="Noto Sans" w:hAnsi="Noto Sans"/>
      <w:sz w:val="192"/>
    </w:rPr>
  </w:style>
  <w:style w:type="paragraph" w:styleId="HeadingA0">
    <w:name w:val="Heading A0"/>
    <w:basedOn w:val="A0"/>
    <w:qFormat/>
    <w:pPr/>
    <w:rPr>
      <w:rFonts w:ascii="Noto Sans" w:hAnsi="Noto Sans"/>
      <w:sz w:val="144"/>
    </w:rPr>
  </w:style>
  <w:style w:type="paragraph" w:styleId="TextA0">
    <w:name w:val="Text A0"/>
    <w:basedOn w:val="A0"/>
    <w:qFormat/>
    <w:pPr/>
    <w:rPr>
      <w:rFonts w:ascii="Noto Sans" w:hAnsi="Noto Sans"/>
      <w:sz w:val="96"/>
    </w:rPr>
  </w:style>
  <w:style w:type="paragraph" w:styleId="Graphic">
    <w:name w:val="Graphic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ueCurveLTGliederung1">
    <w:name w:val="Blue_Curve~LT~Gliederung 1"/>
    <w:qFormat/>
    <w:pPr>
      <w:widowControl w:val="false"/>
      <w:suppressAutoHyphens w:val="true"/>
      <w:overflowPunct w:val="false"/>
      <w:bidi w:val="0"/>
      <w:spacing w:before="212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zh-CN" w:bidi="hi-IN"/>
    </w:rPr>
  </w:style>
  <w:style w:type="paragraph" w:styleId="BlueCurveLTGliederung2">
    <w:name w:val="Blue_Curve~LT~Gliederung 2"/>
    <w:basedOn w:val="BlueCurveLTGliederung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BlueCurveLTGliederung3">
    <w:name w:val="Blue_Curve~LT~Gliederung 3"/>
    <w:basedOn w:val="BlueCurveLTGliederung2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BlueCurveLTGliederung4">
    <w:name w:val="Blue_Curve~LT~Gliederung 4"/>
    <w:basedOn w:val="BlueCurveLTGliederung3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5">
    <w:name w:val="Blue_Curve~LT~Gliederung 5"/>
    <w:basedOn w:val="BlueCurveLTGliederung4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6">
    <w:name w:val="Blue_Curve~LT~Gliederung 6"/>
    <w:basedOn w:val="BlueCurveLTGliederung5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7">
    <w:name w:val="Blue_Curve~LT~Gliederung 7"/>
    <w:basedOn w:val="BlueCurveLTGliederung6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8">
    <w:name w:val="Blue_Curve~LT~Gliederung 8"/>
    <w:basedOn w:val="BlueCurveLTGliederung7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Gliederung9">
    <w:name w:val="Blue_Curve~LT~Gliederung 9"/>
    <w:basedOn w:val="BlueCurveLTGliederung8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LTTitel">
    <w:name w:val="Blue_Curve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DD4100"/>
      <w:kern w:val="2"/>
      <w:sz w:val="66"/>
      <w:szCs w:val="24"/>
      <w:u w:val="none"/>
      <w:em w:val="none"/>
      <w:lang w:val="en-US" w:eastAsia="zh-CN" w:bidi="hi-IN"/>
    </w:rPr>
  </w:style>
  <w:style w:type="paragraph" w:styleId="BlueCurveLTUntertitel">
    <w:name w:val="Blue_Curve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ueCurveLTNotizen">
    <w:name w:val="Blue_Curve~LT~Notizen"/>
    <w:qFormat/>
    <w:pPr>
      <w:widowControl w:val="false"/>
      <w:suppressAutoHyphens w:val="true"/>
      <w:overflowPunct w:val="false"/>
      <w:bidi w:val="0"/>
      <w:spacing w:before="0" w:after="0"/>
      <w:ind w:hanging="340" w:start="34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ueCurveLTHintergrundobjekte">
    <w:name w:val="Blue_Curve~LT~Hintergrundobjekte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FFFFFF"/>
      <w:kern w:val="2"/>
      <w:sz w:val="24"/>
      <w:szCs w:val="24"/>
      <w:lang w:val="en-US" w:eastAsia="zh-CN" w:bidi="hi-IN"/>
    </w:rPr>
  </w:style>
  <w:style w:type="paragraph" w:styleId="BlueCurveLTHintergrund">
    <w:name w:val="Blue_Curve~LT~Hintergrund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Noto Sans Devanagari" w:hAnsi="Noto Sans Devanagari" w:eastAsia="Noto Sans" w:cs="DejaVu Math TeX Gyre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FFFFFF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overflowPunct w:val="false"/>
      <w:bidi w:val="0"/>
      <w:spacing w:before="0" w:after="0"/>
      <w:ind w:hanging="340" w:start="34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overflowPunct w:val="false"/>
      <w:bidi w:val="0"/>
      <w:spacing w:before="212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6">
    <w:name w:val="Outline 6"/>
    <w:basedOn w:val="Outline5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7">
    <w:name w:val="Outline 7"/>
    <w:basedOn w:val="Outline6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8">
    <w:name w:val="Outline 8"/>
    <w:basedOn w:val="Outline7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9">
    <w:name w:val="Outline 9"/>
    <w:basedOn w:val="Outline8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bjektohneFllungundLinie">
    <w:name w:val="Objekt ohne Füllung und Linie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">
    <w:name w:val="Accent"/>
    <w:basedOn w:val="DefaultDrawingStyle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1">
    <w:name w:val="Accent 1"/>
    <w:basedOn w:val="Accent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2">
    <w:name w:val="Accent 2"/>
    <w:basedOn w:val="Accent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ccent3">
    <w:name w:val="Accent 3"/>
    <w:basedOn w:val="Accent"/>
    <w:qFormat/>
    <w:pPr>
      <w:spacing w:lineRule="atLeast" w:line="0" w:before="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BlueCurve1LTGliederung1">
    <w:name w:val="Blue_Curve1~LT~Gliederung 1"/>
    <w:qFormat/>
    <w:pPr>
      <w:widowControl w:val="false"/>
      <w:suppressAutoHyphens w:val="true"/>
      <w:overflowPunct w:val="false"/>
      <w:bidi w:val="0"/>
      <w:spacing w:before="212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zh-CN" w:bidi="hi-IN"/>
    </w:rPr>
  </w:style>
  <w:style w:type="paragraph" w:styleId="BlueCurve1LTGliederung2">
    <w:name w:val="Blue_Curve1~LT~Gliederung 2"/>
    <w:basedOn w:val="BlueCurve1LTGliederung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BlueCurve1LTGliederung3">
    <w:name w:val="Blue_Curve1~LT~Gliederung 3"/>
    <w:basedOn w:val="BlueCurve1LTGliederung2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BlueCurve1LTGliederung4">
    <w:name w:val="Blue_Curve1~LT~Gliederung 4"/>
    <w:basedOn w:val="BlueCurve1LTGliederung3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5">
    <w:name w:val="Blue_Curve1~LT~Gliederung 5"/>
    <w:basedOn w:val="BlueCurve1LTGliederung4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6">
    <w:name w:val="Blue_Curve1~LT~Gliederung 6"/>
    <w:basedOn w:val="BlueCurve1LTGliederung5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7">
    <w:name w:val="Blue_Curve1~LT~Gliederung 7"/>
    <w:basedOn w:val="BlueCurve1LTGliederung6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8">
    <w:name w:val="Blue_Curve1~LT~Gliederung 8"/>
    <w:basedOn w:val="BlueCurve1LTGliederung7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9">
    <w:name w:val="Blue_Curve1~LT~Gliederung 9"/>
    <w:basedOn w:val="BlueCurve1LTGliederung8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Titel">
    <w:name w:val="Blue_Curve1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en-US" w:eastAsia="zh-CN" w:bidi="hi-IN"/>
    </w:rPr>
  </w:style>
  <w:style w:type="paragraph" w:styleId="BlueCurve1LTUntertitel">
    <w:name w:val="Blue_Curve1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ueCurve1LTNotizen">
    <w:name w:val="Blue_Curve1~LT~Notizen"/>
    <w:qFormat/>
    <w:pPr>
      <w:widowControl w:val="false"/>
      <w:suppressAutoHyphens w:val="true"/>
      <w:overflowPunct w:val="false"/>
      <w:bidi w:val="0"/>
      <w:spacing w:before="0" w:after="0"/>
      <w:ind w:hanging="340" w:start="34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ueCurve1LTHintergrundobjekte">
    <w:name w:val="Blue_Curve1~LT~Hintergrundobjekte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FFFFFF"/>
      <w:kern w:val="2"/>
      <w:sz w:val="24"/>
      <w:szCs w:val="24"/>
      <w:lang w:val="en-US" w:eastAsia="zh-CN" w:bidi="hi-IN"/>
    </w:rPr>
  </w:style>
  <w:style w:type="paragraph" w:styleId="BlueCurve1LTHintergrund">
    <w:name w:val="Blue_Curve1~LT~Hintergrund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2"/>
      <w:sz w:val="24"/>
      <w:szCs w:val="24"/>
      <w:lang w:val="en-US" w:eastAsia="zh-CN" w:bidi="hi-IN"/>
    </w:rPr>
  </w:style>
  <w:style w:type="paragraph" w:styleId="BlueCurve1LTGliederung11">
    <w:name w:val="Blue_Curve1_~LT~Gliederung 1"/>
    <w:qFormat/>
    <w:pPr>
      <w:widowControl w:val="false"/>
      <w:suppressAutoHyphens w:val="true"/>
      <w:overflowPunct w:val="false"/>
      <w:bidi w:val="0"/>
      <w:spacing w:before="212" w:after="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en-US" w:eastAsia="zh-CN" w:bidi="hi-IN"/>
    </w:rPr>
  </w:style>
  <w:style w:type="paragraph" w:styleId="BlueCurve1LTGliederung21">
    <w:name w:val="Blue_Curve1_~LT~Gliederung 2"/>
    <w:basedOn w:val="BlueCurve1LTGliederung11"/>
    <w:qFormat/>
    <w:pPr>
      <w:spacing w:before="170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BlueCurve1LTGliederung31">
    <w:name w:val="Blue_Curve1_~LT~Gliederung 3"/>
    <w:basedOn w:val="BlueCurve1LTGliederung21"/>
    <w:qFormat/>
    <w:pPr>
      <w:spacing w:before="127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BlueCurve1LTGliederung41">
    <w:name w:val="Blue_Curve1_~LT~Gliederung 4"/>
    <w:basedOn w:val="BlueCurve1LTGliederung31"/>
    <w:qFormat/>
    <w:pPr>
      <w:spacing w:before="84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51">
    <w:name w:val="Blue_Curve1_~LT~Gliederung 5"/>
    <w:basedOn w:val="BlueCurve1LTGliederung4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61">
    <w:name w:val="Blue_Curve1_~LT~Gliederung 6"/>
    <w:basedOn w:val="BlueCurve1LTGliederung5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71">
    <w:name w:val="Blue_Curve1_~LT~Gliederung 7"/>
    <w:basedOn w:val="BlueCurve1LTGliederung6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81">
    <w:name w:val="Blue_Curve1_~LT~Gliederung 8"/>
    <w:basedOn w:val="BlueCurve1LTGliederung7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Gliederung91">
    <w:name w:val="Blue_Curve1_~LT~Gliederung 9"/>
    <w:basedOn w:val="BlueCurve1LTGliederung81"/>
    <w:qFormat/>
    <w:pPr>
      <w:spacing w:before="42" w:after="0"/>
    </w:pPr>
    <w:rPr>
      <w:rFonts w:ascii="Liberation Sans" w:hAnsi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BlueCurve1LTTitel1">
    <w:name w:val="Blue_Curve1_~LT~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en-US" w:eastAsia="zh-CN" w:bidi="hi-IN"/>
    </w:rPr>
  </w:style>
  <w:style w:type="paragraph" w:styleId="BlueCurve1LTUntertitel1">
    <w:name w:val="Blue_Curve1_~LT~Untertitel"/>
    <w:qFormat/>
    <w:pPr>
      <w:widowControl w:val="false"/>
      <w:suppressAutoHyphens w:val="true"/>
      <w:overflowPunct w:val="false"/>
      <w:bidi w:val="0"/>
      <w:spacing w:before="0" w:after="0"/>
      <w:jc w:val="center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ueCurve1LTNotizen1">
    <w:name w:val="Blue_Curve1_~LT~Notizen"/>
    <w:qFormat/>
    <w:pPr>
      <w:widowControl w:val="false"/>
      <w:suppressAutoHyphens w:val="true"/>
      <w:overflowPunct w:val="false"/>
      <w:bidi w:val="0"/>
      <w:spacing w:before="0" w:after="0"/>
      <w:ind w:hanging="340" w:start="340"/>
      <w:jc w:val="start"/>
    </w:pPr>
    <w:rPr>
      <w:rFonts w:ascii="Liberation Sans" w:hAnsi="Liberation Sans" w:eastAsia="Noto Sans" w:cs="DejaVu Math TeX Gyre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ueCurve1LTHintergrundobjekte1">
    <w:name w:val="Blue_Curve1_~LT~Hintergrundobjekte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FFFFFF"/>
      <w:kern w:val="2"/>
      <w:sz w:val="24"/>
      <w:szCs w:val="24"/>
      <w:lang w:val="en-US" w:eastAsia="zh-CN" w:bidi="hi-IN"/>
    </w:rPr>
  </w:style>
  <w:style w:type="paragraph" w:styleId="BlueCurve1LTHintergrund1">
    <w:name w:val="Blue_Curve1_~LT~Hintergrund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Noto Sans" w:cs="DejaVu Math TeX Gyre"/>
      <w:color w:val="auto"/>
      <w:kern w:val="2"/>
      <w:sz w:val="24"/>
      <w:szCs w:val="24"/>
      <w:lang w:val="en-US" w:eastAsia="zh-CN" w:bidi="hi-IN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3</Pages>
  <Words>314</Words>
  <Characters>1897</Characters>
  <CharactersWithSpaces>2164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2025-07-02T16:05:53Z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