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with images and table</w:t>
      </w:r>
    </w:p>
    <w:p>
      <w:r>
        <w:t xml:space="preserve">Voici </w:t>
      </w:r>
      <w:r>
        <w:rPr>
          <w:b/>
        </w:rPr>
        <w:t>du texte en gras</w:t>
      </w:r>
      <w:r>
        <w:t xml:space="preserve"> et </w:t>
      </w:r>
      <w:r>
        <w:rPr>
          <w:i/>
          <w:color w:val="C01010"/>
        </w:rPr>
        <w:t>italique rouge</w:t>
      </w:r>
      <w:r>
        <w:t xml:space="preserve"> pour tester la préservation.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Concept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Attention</w:t>
            </w:r>
          </w:p>
        </w:tc>
        <w:tc>
          <w:tcPr>
            <w:tcW w:type="dxa" w:w="2880"/>
          </w:tcPr>
          <w:p>
            <w:r>
              <w:t>Capacité à se concentrer</w:t>
            </w:r>
          </w:p>
        </w:tc>
        <w:tc>
          <w:tcPr>
            <w:tcW w:type="dxa" w:w="2880"/>
          </w:tcPr>
          <w:p>
            <w:r>
              <w:t>Posner 1980</w:t>
            </w:r>
          </w:p>
        </w:tc>
      </w:tr>
      <w:tr>
        <w:tc>
          <w:tcPr>
            <w:tcW w:type="dxa" w:w="2880"/>
          </w:tcPr>
          <w:p>
            <w:r>
              <w:t>Bionique</w:t>
            </w:r>
          </w:p>
        </w:tc>
        <w:tc>
          <w:tcPr>
            <w:tcW w:type="dxa" w:w="2880"/>
          </w:tcPr>
          <w:p>
            <w:r>
              <w:t>Préfixes en gras</w:t>
            </w:r>
          </w:p>
        </w:tc>
        <w:tc>
          <w:tcPr>
            <w:tcW w:type="dxa" w:w="2880"/>
          </w:tcPr>
          <w:p>
            <w:r>
              <w:t>Casutt 2018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