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2D3A"/>
          <w:sz w:val="44"/>
          <w:szCs w:val="44"/>
        </w:rPr>
        <w:t xml:space="preserve">Technische und organisatorische Maßnahmen</w:t>
      </w:r>
    </w:p>
    <w:p>
      <w:pPr>
        <w:spacing w:before="120"/>
        <w:jc w:val="center"/>
      </w:pPr>
      <w:r>
        <w:rPr>
          <w:b/>
          <w:bCs/>
          <w:color w:val="2E6F4E"/>
          <w:sz w:val="30"/>
          <w:szCs w:val="30"/>
        </w:rPr>
        <w:t xml:space="preserve">(TOM) gemäß Art. 32 DSGVO</w:t>
      </w:r>
    </w:p>
    <w:p>
      <w:pPr>
        <w:spacing w:before="600"/>
        <w:jc w:val="center"/>
      </w:pPr>
      <w:r>
        <w:rPr>
          <w:b/>
          <w:bCs/>
          <w:sz w:val="28"/>
          <w:szCs w:val="28"/>
        </w:rPr>
        <w:t xml:space="preserve">Planungsmanager</w:t>
      </w:r>
    </w:p>
    <w:p>
      <w:pPr>
        <w:jc w:val="center"/>
      </w:pPr>
      <w:r>
        <w:rPr>
          <w:i/>
          <w:iCs/>
          <w:color w:val="555555"/>
          <w:sz w:val="22"/>
          <w:szCs w:val="22"/>
        </w:rPr>
        <w:t xml:space="preserve">Web-Anwendung zur Planung und Dokumentation kommunaler Auftrags- und Tourenarbeit</w:t>
      </w:r>
    </w:p>
    <w:p>
      <w:pPr>
        <w:spacing w:before="1200"/>
        <w:jc w:val="center"/>
      </w:pPr>
      <w:r>
        <w:rPr>
          <w:sz w:val="22"/>
          <w:szCs w:val="22"/>
        </w:rPr>
        <w:t xml:space="preserve">Stand: Juni 2026  ·  Version 1.0 (Entwurf)</w:t>
      </w:r>
    </w:p>
    <w:p>
      <w:pPr>
        <w:spacing w:before="120"/>
        <w:jc w:val="center"/>
      </w:pPr>
      <w:r>
        <w:rPr>
          <w:color w:val="B45309"/>
          <w:sz w:val="22"/>
          <w:szCs w:val="22"/>
        </w:rPr>
        <w:t xml:space="preserve">Betreiber / Verantwortlicher: [Name, Anschrift eintragen]</w:t>
      </w:r>
    </w:p>
    <w:p>
      <w:r>
        <w:br w:type="page"/>
      </w:r>
    </w:p>
    <w:p>
      <w:pPr>
        <w:pStyle w:val="Heading1"/>
      </w:pPr>
      <w:r>
        <w:t xml:space="preserve">1  Einleitung und Geltungsbereich</w:t>
      </w:r>
    </w:p>
    <w:p>
      <w:r>
        <w:t xml:space="preserve">Dieses Dokument beschreibt die technischen und organisatorischen Maßnahmen (TOM) gemäß Art. 32 DSGVO, mit denen die Sicherheit der im Planungsmanager verarbeiteten personenbezogenen Daten gewährleistet wird. Es dient als Nachweis der Rechenschaftspflicht (Art. 5 Abs. 2 DSGVO) und als Anlage zum Auftragsverarbeitungsvertrag.</w:t>
      </w:r>
    </w:p>
    <w:p>
      <w:pPr>
        <w:spacing w:after="120"/>
      </w:pPr>
      <w:r>
        <w:t xml:space="preserve"/>
      </w:r>
    </w:p>
    <w:p>
      <w:r>
        <w:t xml:space="preserve">Der Planungsmanager ist eine mandantenfähige Web-Anwendung. Jeder Mandant (Kommune/Eigenbetrieb) sieht ausschließlich seine eigenen Daten. Verarbeitet werden insbesondere Objekt- und Bewegungsdaten der Auftragsabwicklung sowie – in begrenztem Umfang – personenbezogene Daten der Nutzer (Name, Rolle, Anmeldedaten) und der die Aufträge ausführenden Personen (z. B. Fahrername in Meldungen, optional Standortdaten während der Tour).</w:t>
      </w:r>
    </w:p>
    <w:p>
      <w:pPr>
        <w:pStyle w:val="Heading1"/>
      </w:pPr>
      <w:r>
        <w:t xml:space="preserve">2  Verantwortlicher und Auftragsverarbeiter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Maßnahme</w:t>
            </w:r>
          </w:p>
        </w:tc>
        <w:tc>
          <w:tcPr>
            <w:tcW w:type="dxa" w:w="6326"/>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Umsetzung im Planungsmanager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Verantwortlicher</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[Betreiber/Kommune – Name, Anschrift, Vertretungsberechtigte eintragen]</w:t>
            </w:r>
          </w:p>
        </w:tc>
      </w:tr>
      <w:tr>
        <w:tc>
          <w:tcPr>
            <w:tcW w:type="dxa" w:w="2700"/>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rPr>
                <w:b/>
                <w:bCs/>
              </w:rPr>
              <w:t xml:space="preserve">Datenschutzbeauftragter</w:t>
            </w:r>
          </w:p>
        </w:tc>
        <w:tc>
          <w:tcPr>
            <w:tcW w:type="dxa" w:w="6326"/>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t xml:space="preserve">[Name und Kontakt eintragen]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Auftragsverarbeiter (Plattform)</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Google Ireland Ltd. / Google Cloud (Firebase): Datenbank, Datei-Speicher, Server-Funktionen, Anmeldung, Hosting, KI-Analyse. Verarbeitung in der EU-Region europe-west3 (Frankfurt am Main). Auftragsverarbeitungsvertrag (EU-Standardvertragsklauseln) ist abzuschließen/zu dokumentieren.</w:t>
            </w:r>
          </w:p>
        </w:tc>
      </w:tr>
      <w:tr>
        <w:tc>
          <w:tcPr>
            <w:tcW w:type="dxa" w:w="2700"/>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rPr>
                <w:b/>
                <w:bCs/>
              </w:rPr>
              <w:t xml:space="preserve">Weitere eingebundene Dienste</w:t>
            </w:r>
          </w:p>
        </w:tc>
        <w:tc>
          <w:tcPr>
            <w:tcW w:type="dxa" w:w="6326"/>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t xml:space="preserve">OpenRouteService (HeiGIT, Routenberechnung); basemap.de / Bundesamt für Kartographie und Geodäsie (amtliche Hintergrundkarten); amtliche Landes-Luftbilder (Landesvermessung); Google reCAPTCHA v3 (Echtheitsprüfung der App). Keine Übertragung von Nutzdaten an werbliche Dritte.</w:t>
            </w:r>
          </w:p>
        </w:tc>
      </w:tr>
    </w:tbl>
    <w:p>
      <w:pPr>
        <w:pStyle w:val="Heading1"/>
      </w:pPr>
      <w:r>
        <w:t xml:space="preserve">3  Kurze Systembeschreibung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Maßnahme</w:t>
            </w:r>
          </w:p>
        </w:tc>
        <w:tc>
          <w:tcPr>
            <w:tcW w:type="dxa" w:w="6326"/>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Umsetzung im Planungsmanager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Architektur</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Reine Web-Anwendung (Browser), kein eigener Server beim Betreiber. Frontend in JavaScript (Vanilla/Vite); Backend vollständig über Google Firebase.</w:t>
            </w:r>
          </w:p>
        </w:tc>
      </w:tr>
      <w:tr>
        <w:tc>
          <w:tcPr>
            <w:tcW w:type="dxa" w:w="2700"/>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rPr>
                <w:b/>
                <w:bCs/>
              </w:rPr>
              <w:t xml:space="preserve">Datenhaltung</w:t>
            </w:r>
          </w:p>
        </w:tc>
        <w:tc>
          <w:tcPr>
            <w:tcW w:type="dxa" w:w="6326"/>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t xml:space="preserve">Cloud Firestore (Echtzeit-Datenbank) und Cloud Storage (Fotos/Dokumente), beide in Frankfurt (europe-west3).</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Server-Funktionen</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Cloud Functions (Node 22) in Frankfurt für geschützte Vorgänge (Anmeldung, Benutzer-/Mandantenverwaltung, KI).</w:t>
            </w:r>
          </w:p>
        </w:tc>
      </w:tr>
      <w:tr>
        <w:tc>
          <w:tcPr>
            <w:tcW w:type="dxa" w:w="2700"/>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rPr>
                <w:b/>
                <w:bCs/>
              </w:rPr>
              <w:t xml:space="preserve">Auslieferung</w:t>
            </w:r>
          </w:p>
        </w:tc>
        <w:tc>
          <w:tcPr>
            <w:tcW w:type="dxa" w:w="6326"/>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t xml:space="preserve">Firebase Hosting über HTTPS; statische App-Dateien über globales CDN (keine personenbezogenen Nutzdaten im CDN).</w:t>
            </w:r>
          </w:p>
        </w:tc>
      </w:tr>
    </w:tbl>
    <w:p>
      <w:r>
        <w:br w:type="page"/>
      </w:r>
    </w:p>
    <w:p>
      <w:pPr>
        <w:pStyle w:val="Heading1"/>
      </w:pPr>
      <w:r>
        <w:t xml:space="preserve">4  Technische und organisatorische Maßnahmen</w:t>
      </w:r>
    </w:p>
    <w:p>
      <w:pPr>
        <w:pStyle w:val="Heading2"/>
      </w:pPr>
      <w:r>
        <w:t xml:space="preserve">4.1  Vertraulichkeit (Art. 32 Abs. 1 lit.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Maßnahme</w:t>
            </w:r>
          </w:p>
        </w:tc>
        <w:tc>
          <w:tcPr>
            <w:tcW w:type="dxa" w:w="6326"/>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Umsetzung im Planungsmanager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Zutrittskontrolle</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Keine eigene Hardware beim Betreiber. Betrieb in zertifizierten Google-Cloud-Rechenzentren in der EU (Frankfurt); physische Zutritts-, Brand- und Stromschutzmaßnahmen durch den Cloud-Anbieter (Zertifizierungen u. a. ISO/IEC 27001, SOC 2/3).</w:t>
            </w:r>
          </w:p>
        </w:tc>
      </w:tr>
      <w:tr>
        <w:tc>
          <w:tcPr>
            <w:tcW w:type="dxa" w:w="2700"/>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rPr>
                <w:b/>
                <w:bCs/>
              </w:rPr>
              <w:t xml:space="preserve">Zugangskontrolle</w:t>
            </w:r>
          </w:p>
        </w:tc>
        <w:tc>
          <w:tcPr>
            <w:tcW w:type="dxa" w:w="6326"/>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t xml:space="preserve">Anmeldung mit Name + PIN; PINs werden ausschließlich als scrypt-Hash gespeichert (kein Klartext). Zeitweilige Konto-Sperre nach mehreren Fehlversuchen. Jeder Datenzugriff erfordert ein gültiges Anmelde-Token (Firebase Authentication, Custom Token). App Check (reCAPTCHA v3) bestätigt Anfragen als „von der echten App stammend“. Der öffentliche Web-Schlüssel akzeptiert nur Anfragen von freigegebenen Domains.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Zugriffskontrolle</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Rollen- und Rechtekonzept (Administrator, Planer, Erfasser, Fahrer, Nur-Lesen) – serverseitig über Firestore-Sicherheitsregeln bei jedem Lese-/Schreibzugriff durchgesetzt. Reiter/Module je Rolle und je Projekt freischaltbar. Datei-Uploads nur in freigegebenen Formaten (Bild, PDF, Office) und bis max. 20 MB.</w:t>
            </w:r>
          </w:p>
        </w:tc>
      </w:tr>
      <w:tr>
        <w:tc>
          <w:tcPr>
            <w:tcW w:type="dxa" w:w="2700"/>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rPr>
                <w:b/>
                <w:bCs/>
              </w:rPr>
              <w:t xml:space="preserve">Trennungskontrolle</w:t>
            </w:r>
          </w:p>
        </w:tc>
        <w:tc>
          <w:tcPr>
            <w:tcW w:type="dxa" w:w="6326"/>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t xml:space="preserve">Strikte Mandantentrennung: Jeder Datensatz trägt eine Mandanten-Kennung; mandantenfremde Zugriffe werden serverseitig abgewiesen. Rollen- und Benutzerkataloge werden je Mandant getrennt geführt.</w:t>
            </w:r>
          </w:p>
        </w:tc>
      </w:tr>
    </w:tbl>
    <w:p>
      <w:pPr>
        <w:pStyle w:val="Heading2"/>
      </w:pPr>
      <w:r>
        <w:t xml:space="preserve">4.2  Integrität (Art. 32 Abs. 1 lit.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Maßnahme</w:t>
            </w:r>
          </w:p>
        </w:tc>
        <w:tc>
          <w:tcPr>
            <w:tcW w:type="dxa" w:w="6326"/>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Umsetzung im Planungsmanager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Weitergabe-/Transportkontrolle</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Sämtliche Verbindungen ausschließlich über HTTPS (TLS). Hintergrundkarten von amtlichen Servern (basemap.de/BKG, Landesvermessung) statt kommerzieller Anbieter – keine Übertragung von Standortdaten an werbliche Dritte. Schriften werden lokal mit der App ausgeliefert (keine IP-Übertragung an Google-CDN).</w:t>
            </w:r>
          </w:p>
        </w:tc>
      </w:tr>
      <w:tr>
        <w:tc>
          <w:tcPr>
            <w:tcW w:type="dxa" w:w="2700"/>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rPr>
                <w:b/>
                <w:bCs/>
              </w:rPr>
              <w:t xml:space="preserve">Eingabekontrolle</w:t>
            </w:r>
          </w:p>
        </w:tc>
        <w:tc>
          <w:tcPr>
            <w:tcW w:type="dxa" w:w="6326"/>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t xml:space="preserve">Statusmeldungen und Änderungen werden mit Verlauf/Historie protokolliert (u. a. Zeitpunkt, ausführende Person). Alle Nutzereingaben werden bei der Anzeige maskiert (Schutz vor Cross-Site-Scripting). KI-Schnittstelle nur für angemeldete Nutzer, mit fester Modell-Liste und Längenbegrenzung.</w:t>
            </w:r>
          </w:p>
        </w:tc>
      </w:tr>
    </w:tbl>
    <w:p>
      <w:pPr>
        <w:pStyle w:val="Heading2"/>
      </w:pPr>
      <w:r>
        <w:t xml:space="preserve">4.3  Verfügbarkeit und Belastbarkeit (Art. 32 Abs. 1 lit.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Maßnahme</w:t>
            </w:r>
          </w:p>
        </w:tc>
        <w:tc>
          <w:tcPr>
            <w:tcW w:type="dxa" w:w="6326"/>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Umsetzung im Planungsmanager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Verfügbarkeit</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Betrieb auf hochverfügbarer, automatisch skalierender Google-Cloud-Infrastruktur; Datenhaltung mit regionaler Replikation in der EU. App-Auslieferung über redundantes CDN.</w:t>
            </w:r>
          </w:p>
        </w:tc>
      </w:tr>
      <w:tr>
        <w:tc>
          <w:tcPr>
            <w:tcW w:type="dxa" w:w="2700"/>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rPr>
                <w:b/>
                <w:bCs/>
              </w:rPr>
              <w:t xml:space="preserve">Belastbarkeit / Ausfallsicherheit</w:t>
            </w:r>
          </w:p>
        </w:tc>
        <w:tc>
          <w:tcPr>
            <w:tcW w:type="dxa" w:w="6326"/>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t xml:space="preserve">Die Fahrer-App arbeitet bei Verbindungsabbruch offline weiter (lokale Warteschlange) und überträgt Meldungen bei Wiederverbindung nach – keine Datenverluste vor Ort.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Rasche Wiederherstellbarkeit</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Wiederherstellung über die Backup-/Wiederherstellungsmechanismen der Google-Cloud-Dienste. Der Quellcode ist versioniert (Git/GitHub); das Deployment ist reproduzierbar.</w:t>
            </w:r>
          </w:p>
        </w:tc>
      </w:tr>
    </w:tbl>
    <w:p>
      <w:pPr>
        <w:pStyle w:val="Heading2"/>
      </w:pPr>
      <w:r>
        <w:t xml:space="preserve">4.4  Pseudonymisierung und Verschlüsselung (Art. 32 Abs. 1 lit.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Maßnahme</w:t>
            </w:r>
          </w:p>
        </w:tc>
        <w:tc>
          <w:tcPr>
            <w:tcW w:type="dxa" w:w="6326"/>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Umsetzung im Planungsmanager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Verschlüsselung</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Verschlüsselung der Übertragung durchgängig per TLS/HTTPS. Gespeicherte Daten werden durch den Cloud-Anbieter standardmäßig verschlüsselt (Verschlüsselung „at rest“).</w:t>
            </w:r>
          </w:p>
        </w:tc>
      </w:tr>
      <w:tr>
        <w:tc>
          <w:tcPr>
            <w:tcW w:type="dxa" w:w="2700"/>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rPr>
                <w:b/>
                <w:bCs/>
              </w:rPr>
              <w:t xml:space="preserve">Hashing von Geheimnissen</w:t>
            </w:r>
          </w:p>
        </w:tc>
        <w:tc>
          <w:tcPr>
            <w:tcW w:type="dxa" w:w="6326"/>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t xml:space="preserve">Anmelde-PINs werden ausschließlich als scrypt-Hash gespeichert, niemals im Klartext.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Datensparsamkeit</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Von Nutzern werden nur Name, Rolle und Anmeldedaten verarbeitet. Es werden keine Werbe-/Tracking-Cookies und keine Analyse-Dienste Dritter eingesetzt.</w:t>
            </w:r>
          </w:p>
        </w:tc>
      </w:tr>
    </w:tbl>
    <w:p>
      <w:pPr>
        <w:pStyle w:val="Heading2"/>
      </w:pPr>
      <w:r>
        <w:t xml:space="preserve">4.5  Verfahren zur regelmäßigen Überprüfung, Bewertung und Evaluierung (Art. 32 Abs. 1 lit. d) sowie Auftragskontrolle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Maßnahme</w:t>
            </w:r>
          </w:p>
        </w:tc>
        <w:tc>
          <w:tcPr>
            <w:tcW w:type="dxa" w:w="6326"/>
            <w:tcBorders>
              <w:top w:val="single" w:color="CCCCCC" w:sz="1"/>
              <w:left w:val="single" w:color="CCCCCC" w:sz="1"/>
              <w:bottom w:val="single" w:color="CCCCCC" w:sz="1"/>
              <w:right w:val="single" w:color="CCCCCC" w:sz="1"/>
            </w:tcBorders>
            <w:shd w:fill="2E6F4E" w:val="clear"/>
            <w:tcMar>
              <w:top w:type="dxa" w:w="60"/>
              <w:left w:type="dxa" w:w="120"/>
              <w:bottom w:type="dxa" w:w="60"/>
              <w:right w:type="dxa" w:w="120"/>
            </w:tcMar>
          </w:tcPr>
          <w:p>
            <w:r>
              <w:rPr>
                <w:b/>
                <w:bCs/>
                <w:color w:val="FFFFFF"/>
              </w:rPr>
              <w:t xml:space="preserve">Umsetzung im Planungsmanager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Datenschutz-Management</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Integrierter Bereich „System &amp; Compliance“ mit laufender Übersicht über Technik-Stack, Datenstandorte, Sicherheitsmaßnahmen, DSGVO-Status sowie Lizenzen/Dienste. Sicherheitsregeln werden zentral gepflegt und versioniert.</w:t>
            </w:r>
          </w:p>
        </w:tc>
      </w:tr>
      <w:tr>
        <w:tc>
          <w:tcPr>
            <w:tcW w:type="dxa" w:w="2700"/>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rPr>
                <w:b/>
                <w:bCs/>
              </w:rPr>
              <w:t xml:space="preserve">Überprüfung der Echtheit</w:t>
            </w:r>
          </w:p>
        </w:tc>
        <w:tc>
          <w:tcPr>
            <w:tcW w:type="dxa" w:w="6326"/>
            <w:tcBorders>
              <w:top w:val="single" w:color="CCCCCC" w:sz="1"/>
              <w:left w:val="single" w:color="CCCCCC" w:sz="1"/>
              <w:bottom w:val="single" w:color="CCCCCC" w:sz="1"/>
              <w:right w:val="single" w:color="CCCCCC" w:sz="1"/>
            </w:tcBorders>
            <w:shd w:fill="F2F6F3" w:val="clear"/>
            <w:tcMar>
              <w:top w:type="dxa" w:w="60"/>
              <w:left w:type="dxa" w:w="120"/>
              <w:bottom w:type="dxa" w:w="60"/>
              <w:right w:type="dxa" w:w="120"/>
            </w:tcMar>
          </w:tcPr>
          <w:p>
            <w:r>
              <w:t xml:space="preserve">App Check (reCAPTCHA v3) zunächst im Beobachtungs-(Monitoring-)Modus; Erzwingung je Dienst nach der Beobachtungsphase.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Auftragskontrolle</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Verarbeitung im Auftrag ausschließlich auf Grundlage eines Auftragsverarbeitungsvertrags mit dem Plattformbetreiber (Google Cloud, EU-Standardvertragsklauseln) – Abschluss zu dokumentieren. Eingesetzte Unterauftragsverarbeiter siehe Abschnitt 2.</w:t>
            </w:r>
          </w:p>
        </w:tc>
      </w:tr>
    </w:tbl>
    <w:p>
      <w:r>
        <w:br w:type="page"/>
      </w:r>
    </w:p>
    <w:p>
      <w:pPr>
        <w:pStyle w:val="Heading1"/>
      </w:pPr>
      <w:r>
        <w:t xml:space="preserve">5  Noch zu veranlassende organisatorische Maßnahmen</w:t>
      </w:r>
    </w:p>
    <w:p>
      <w:r>
        <w:t xml:space="preserve">Folgende Punkte liegen außerhalb der Anwendung und sind organisatorisch durch den Betreiber zu erledigen:</w:t>
      </w:r>
    </w:p>
    <w:p>
      <w:pPr>
        <w:spacing w:after="120"/>
      </w:pPr>
      <w:r>
        <w:t xml:space="preserve"/>
      </w:r>
    </w:p>
    <w:p>
      <w:pPr>
        <w:pStyle w:val="ListParagraph"/>
        <w:numPr>
          <w:ilvl w:val="0"/>
          <w:numId w:val="2"/>
        </w:numPr>
      </w:pPr>
      <w:r>
        <w:t xml:space="preserve">Platzhalter in Datenschutzerklärung und Impressum ausfüllen (Betreiber, Datenschutzbeauftragter, Speicher-/Löschfristen).</w:t>
      </w:r>
    </w:p>
    <w:p>
      <w:pPr>
        <w:pStyle w:val="ListParagraph"/>
        <w:numPr>
          <w:ilvl w:val="0"/>
          <w:numId w:val="2"/>
        </w:numPr>
      </w:pPr>
      <w:r>
        <w:t xml:space="preserve">Auftragsverarbeitungsvertrag (AVV) mit Google Cloud abschließen und ablegen (EU-Standardvertragsklauseln).</w:t>
      </w:r>
    </w:p>
    <w:p>
      <w:pPr>
        <w:pStyle w:val="ListParagraph"/>
        <w:numPr>
          <w:ilvl w:val="0"/>
          <w:numId w:val="2"/>
        </w:numPr>
      </w:pPr>
      <w:r>
        <w:t xml:space="preserve">Löschkonzept festlegen (Aufbewahrungs- und Löschfristen für Meldungen, Verläufe, Fotos).</w:t>
      </w:r>
    </w:p>
    <w:p>
      <w:pPr>
        <w:pStyle w:val="ListParagraph"/>
        <w:numPr>
          <w:ilvl w:val="0"/>
          <w:numId w:val="2"/>
        </w:numPr>
      </w:pPr>
      <w:r>
        <w:t xml:space="preserve">Verarbeitung in das Verzeichnis von Verarbeitungstätigkeiten (VVT) aufnehmen.</w:t>
      </w:r>
    </w:p>
    <w:p>
      <w:pPr>
        <w:pStyle w:val="ListParagraph"/>
        <w:numPr>
          <w:ilvl w:val="0"/>
          <w:numId w:val="2"/>
        </w:numPr>
      </w:pPr>
      <w:r>
        <w:t xml:space="preserve">Beteiligung von Personalrat/Betriebsrat klären (personenbezogene Auswertbarkeit von Meldungen / mögliche Leistungs- und Verhaltenskontrolle).</w:t>
      </w:r>
    </w:p>
    <w:p>
      <w:pPr>
        <w:pStyle w:val="ListParagraph"/>
        <w:numPr>
          <w:ilvl w:val="0"/>
          <w:numId w:val="2"/>
        </w:numPr>
      </w:pPr>
      <w:r>
        <w:t xml:space="preserve">Erforderlichkeit einer Datenschutz-Folgenabschätzung (DSFA) prüfen – insbesondere bei GPS-Ortung der Fahrer (Einschätzung des Datenschutzbeauftragten einholen).</w:t>
      </w:r>
    </w:p>
    <w:p>
      <w:pPr>
        <w:pStyle w:val="Heading1"/>
      </w:pPr>
      <w:r>
        <w:t xml:space="preserve">6  Hinweis</w:t>
      </w:r>
    </w:p>
    <w:p>
      <w:r>
        <w:rPr>
          <w:i/>
          <w:iCs/>
          <w:color w:val="555555"/>
        </w:rPr>
        <w:t xml:space="preserve">Dieses Dokument ist ein technisch fundierter Entwurf auf Basis der tatsächlich umgesetzten Maßnahmen. Es stellt keine Rechtsberatung dar und sollte vor Verwendung durch den Datenschutzbeauftragten bzw. eine juristische Fachperson geprüft und an die konkreten Verhältnisse des Betreibers angepasst werden.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Seite </w:t>
    </w:r>
    <w:r>
      <w:rPr>
        <w:color w:val="888888"/>
        <w:sz w:val="16"/>
        <w:szCs w:val="16"/>
      </w:rPr>
      <w:fldChar w:fldCharType="begin"/>
      <w:instrText xml:space="preserve">PAGE</w:instrText>
      <w:fldChar w:fldCharType="separate"/>
      <w:fldChar w:fldCharType="end"/>
    </w:r>
    <w:r>
      <w:rPr>
        <w:color w:val="888888"/>
        <w:sz w:val="16"/>
        <w:szCs w:val="16"/>
      </w:rPr>
      <w:t xml:space="preserve"> · Entwurf – juristisch zu prüfen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TOM gemäß Art. 32 DSGVO · Planungsmanager · Juni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2D3A"/>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6F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2026-06-20T10:43:37.109Z</dcterms:created>
  <dcterms:modified xsi:type="dcterms:W3CDTF">2026-06-20T10:43:37.110Z</dcterms:modified>
</cp:coreProperties>
</file>

<file path=docProps/custom.xml><?xml version="1.0" encoding="utf-8"?>
<Properties xmlns="http://schemas.openxmlformats.org/officeDocument/2006/custom-properties" xmlns:vt="http://schemas.openxmlformats.org/officeDocument/2006/docPropsVTypes"/>
</file>