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context of the incident (primary definition)</w:t></w:r></w:p><w:p><w:pPr><w:pStyle w:val="BodyText"/></w:pPr><w:r><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offending that treats Observed crime incidents as solo. For this sensitivity analysis, Social context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w:r></w:p><w:p><w:pPr><w:spacing w:after="0"/></w:pPr><w:r><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w:r></w:p><w:p><w:pPr><w:spacing w:after="0"/></w:pPr><w:r><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context by age group and crime type (primary definition: Solo, Co-offense, Observed; Social = Co-offense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context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