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>
  <ns0:body>
    <ns0:bookmarkStart ns0:id="26" ns0:name="method"/>
    <ns0:p>
      <ns0:pPr>
        <ns0:pStyle ns0:val="Heading1"/>
      </ns0:pPr>
      <ns0:r>
        <ns0:t xml:space="preserve">Method</ns0:t>
      </ns0:r>
    </ns0:p>
    <ns0:p>
      <ns0:pPr>
        <ns0:pStyle ns0:val="FirstParagraph"/>
      </ns0:pPr>
      <ns0:r>
        <ns0:rPr>
          <ns0:b/>
          <ns0:bCs/>
        </ns0:rPr>
        <ns0:t xml:space="preserve">Measures</ns0:t>
      </ns0:r>
    </ns0:p>
    <ns0:p>
      <ns0:pPr>
        <ns0:pStyle ns0:val="BodyText"/>
      </ns0:pPr>
      <ns0:r>
        <ns0:rPr>
          <ns0:b/>
          <ns0:bCs/>
          <ns0:i/>
          <ns0:iCs/>
        </ns0:rPr>
        <ns0:t xml:space="preserve">Data source and study period</ns0:t>
      </ns0:r>
    </ns0:p>
    <ns0:p>
      <ns0:pPr>
        <ns0:pStyle ns0:val="BodyText"/>
      </ns0:pPr>
      <ns0:r>
        <ns0:t xml:space="preserve">Data were drawn from the National Crime Victimization Survey (NCVS), survey years 2014–2022. The NCVS is a nationally representative, stratified multistage household survey administered by the U.S. Census Bureau for the Bureau of Justice Statistics (Bureau of Justice Statistics, 2024).</ns0:t>
      </ns0:r>
    </ns0:p>
    <ns0:p>
      <ns0:pPr>
        <ns0:pStyle ns0:val="BodyText"/>
      </ns0:pPr>
      <ns0:r>
        <ns0:rPr>
          <ns0:b/>
          <ns0:bCs/>
          <ns0:i/>
          <ns0:iCs/>
        </ns0:rPr>
        <ns0:t xml:space="preserve">Unit of analysis and analytic samples</ns0:t>
      </ns0:r>
    </ns0:p>
    <ns0:p>
      <ns0:pPr>
        <ns0:pStyle ns0:val="BodyText"/>
      </ns0:pPr>
      <ns0:r>
        <ns0:t>The unit of analysis was the victimization incident. We examined three incident scopes: Total (all incidents), Theft (property crime), and Violent (nonfatal personal crime).</ns0:t>
      </ns0:r>
    </ns0:p>
    <ns0:p>
      <ns0:pPr>
        <ns0:pStyle ns0:val="BodyText"/>
      </ns0:pPr>
      <ns0:r>
        <ns0:rPr>
          <ns0:b/>
          <ns0:bCs/>
          <ns0:i/>
          <ns0:iCs/>
        </ns0:rPr>
        <ns0:t xml:space="preserve">Social crimes of the incident (primary definition)</ns0:t>
      </ns0:r>
    </ns0:p>
    <ns0:p>
      <ns0:pPr>
        <ns0:pStyle ns0:val="BodyText"/>
      </ns0:pPr>
      <ns0:r>
        <ns0:t xml:space="preserve">We operationalized incident Social crimes in two steps. First, we defined a three-level measure of incident Social crimes: (a) Solo crime (a single offender and no evidence the offense was observed by others), (b) Co-offensess (multiple offenders participated), and (c) Observed crime (a single offender, but the incident was observed by someone else). Second, for the primary analyses we derived a binary indicator of Social crimes, coding incidents as Social = Social crimes (Co-offensess or Observed crime), versus Solo crime. This primary binary captures both Co-offensesss and offenses committed in the presence of others.</ns0:t>
      </ns0:r>
    </ns0:p>
    <ns0:p>
      <ns0:pPr>
        <ns0:pStyle ns0:val="BodyText"/>
      </ns0:pPr>
      <ns0:r>
        <ns0:t>Sensitivity analysis (Co-offensesss-only; conventional operationalization)</ns0:t>
      </ns0:r>
    </ns0:p>
    <ns0:p>
      <ns0:pPr>
        <ns0:pStyle ns0:val="BodyText"/>
      </ns0:pPr>
      <ns0:r>
        <ns0:t>Because the substantive interpretation of observed incidents may differ from Co-offensesss, we conducted a sensitivity analysis using a conventional operationalization of Social crimes that treats observed incidents as solo. For this sensitivity analysis, Social crimes was defined as Social crimes (Co-offensess or Observed crime) versus Solo crime.</ns0:t>
      </ns0:r>
    </ns0:p>
    <ns0:p>
      <ns0:pPr>
        <ns0:pStyle ns0:val="BodyText"/>
      </ns0:pPr>
      <ns0:r>
        <ns0:t>Robustness check (unweighted models). As a robustness check, we repeated the primary Total-scope models without NCVS survey weights. Results are reported in the Supplement (Tables S5–S6).</ns0:t>
      </ns0:r>
    </ns0:p>
    <ns0:p>
      <ns0:pPr>
        <ns0:pStyle ns0:val="BodyText"/>
      </ns0:pPr>
      <ns0:r>
        <ns0:t xml:space="preserve">Offender age was coded from NCVS age-group data. For Solo crimes, we used the offender’s age group. For Co-offensesss, we used youngest and oldest co-offender age groups; when only one value was available, it was applied to both fields. Among Co-offensesss with valid age codes, 87.0% (survey-weighted) had offenders in the same or adjacent age bracket; 13.0% spanned two or more brackets.</ns0:t>
      </ns0:r>
    </ns0:p>
    <ns0:bookmarkEnd ns0:id="26"/>
    <ns0:bookmarkStart ns0:id="27" ns0:name="results"/>
    <ns0:bookmarkEnd ns0:id="27"/>
    <ns0:bookmarkStart ns0:id="36" ns0:name="tables-and-figures"/>
    <ns0:bookmarkStart ns0:id="28" ns0:name="table-1"/>
    <ns0:bookmarkEnd ns0:id="28"/>
    <ns0:bookmarkStart ns0:id="35" ns0:name="figures"/>
    <ns0:bookmarkEnd ns0:id="35"/>
    <ns0:bookmarkEnd ns0:id="36"/>
    <ns0:p>
      <ns0:pPr>
        <ns0:pStyle ns0:val="Heading1"/>
      </ns0:pPr>
      <ns0:r>
        <ns0:t>Results</ns0:t>
      </ns0:r>
    </ns0:p>
    <ns0:p>
      <ns0:pPr>
        <ns0:spacing ns0:after="0"/>
      </ns0:pPr>
      <ns0:r>
        <ns0:t>Model-implied predicted probabilities of Social crimes (Co-offensesss or observed offending vs. solo offending) across age groups are presented in Table 1 and depicted in Figure 1. Across all offense types, the model-implied probability of a Social crimes followed a consistent developmental pattern: Social crimes was most prevalent during adolescence, peaked between ages 12 and 17, and then decreased across older age groups. Adults aged 30 and older had the lowest model-implied probability to offend in Social crimess. Emerging adults (ages 18–20) and young adults (ages 21–29) occupied intermediate positions, with predicted probabilities falling between those of adolescents and older adults.</ns0:t>
      </ns0:r>
    </ns0:p>
    <ns0:p>
      <ns0:pPr>
        <ns0:spacing ns0:after="0"/>
      </ns0:pPr>
      <ns0:r>
        <ns0:t>Total offenses. For total offenses, the predicted probability of Social crimes was highest among 15- to 17-year-olds (p̂ = .573, 95% CI [.534, .610]) and 12- to 14-year-olds (p̂ = .571 [.509, .631]), followed closely by 18- to 20-year-olds (p̂ = .536 [.509, .562]) and children under 12 (p̂ = .524 [.447, .600]). By contrast, adults aged 30 and older had a predicted probability of .353 [.326, .380]. In the weighted logistic regression model (see Figure 2), all younger age groups had significantly elevated odds of Social crimes relative to adults aged 30 and older: adolescents aged 15–17 (OR = 2.46, 95% CI [2.11, 2.87]) and 12–14 (OR = 2.44 [2.05, 2.91]) showed the largest effects, followed by emerging adults aged 18–20 (OR = 2.12 [1.87, 2.40]), children under 12 (OR = 2.02 [1.57, 2.61]), and young adults aged 21–29 (OR = 1.37 [1.26, 1.48]).</ns0:t>
      </ns0:r>
    </ns0:p>
    <ns0:p>
      <ns0:pPr>
        <ns0:spacing ns0:after="0"/>
      </ns0:pPr>
      <ns0:r>
        <ns0:t>Theft offenses. A similar pattern emerged for theft, though the age gradient was somewhat attenuated. Social crimes was most likely among 12- to 14-year-olds (p̂ = .577 [.520, .632]) and 15- to 17-year-olds (p̂ = .552 [.503, .600]), with adults aged 30 and older again showing the lowest probability (p̂ = .394 [.371, .416]). Relative to the 30-and-older reference group, adolescents aged 12–14 had the highest odds (OR = 2.10 [1.63, 2.70]), followed by 15- to 17-year-olds (OR = 1.90 [1.50, 2.41]), 18- to 20-year-olds (OR = 1.80 [1.52, 2.14]), children under 12 (OR = 1.66 [1.19, 2.30]), and 21- to 29-year-olds (OR = 1.38 [1.22, 1.56]).</ns0:t>
      </ns0:r>
    </ns0:p>
    <ns0:p>
      <ns0:pPr>
        <ns0:spacing ns0:after="0"/>
      </ns0:pPr>
      <ns0:r>
        <ns0:t>Violent offenses. The developmental pattern was most pronounced for violent offenses. Adolescents aged 15–17 had the highest predicted probability of Social crimes (p̂ = .580 [.529, .629]), followed by 12- to 14-year-olds (p̂ = .569 [.496, .640]) and emerging adults aged 18–20 (p̂ = .534 [.498, .569]). Adults aged 30 and older had the lowest probability (p̂ = .342 [.311, .375]). Odds ratios relative to the 30-and-older group were largest for 15- to 17-year-olds (OR = 2.65 [2.20, 3.20]) and 12- to 14-year-olds (OR = 2.54 [2.07, 3.12]), with emerging adults (OR = 2.20 [1.88, 2.59]) and children under 12 (OR = 2.14 [1.58, 2.90]) also showing substantially elevated odds. Young adults aged 21–29, while significantly more likely than older adults to offend socially (OR = 1.34 [1.22, 1.46]), were clearly distinguished from the adolescent peak.</ns0:t>
      </ns0:r>
    </ns0:p>
    <ns0:p>
      <ns0:pPr>
        <ns0:spacing ns0:after="0"/>
      </ns0:pPr>
      <ns0:r>
        <ns0:t>Bonferroni-adjusted pairwise age-group comparisons corroborated this pattern: the adolescent peak (ages 12–14) was distinguishable from adjacent age groups, and young adults (ages 21–29) differed from older adults in the expected direction. Full pairwise matrices (Bonferroni-adjusted) are reported in the Supplement (Tables S1–S3 for the primary definition; Tables S4–S6 for the Co-offensesss-only definition).</ns0:t>
      </ns0:r>
    </ns0:p>
    <ns0:p>
      <ns0:pPr>
        <ns0:pStyle ns0:val="Heading1"/>
      </ns0:pPr>
      <ns0:r>
        <ns0:t>Tables and figures</ns0:t>
      </ns0:r>
    </ns0:p>
    <ns0:p>
      <ns0:r>
        <ns0:rPr>
          <ns0:rFonts ns0:ascii="Arial" ns0:hAnsi="Arial"/>
          <ns0:b/>
          <ns0:sz ns0:val="20"/>
        </ns0:rPr>
        <ns0:t>Table 1</ns0:t>
      </ns0:r>
    </ns0:p>
    <ns0:p>
      <ns0:pPr>
        <ns0:spacing ns0:after="120"/>
      </ns0:pPr>
      <ns0:r>
        <ns0:rPr>
          <ns0:rFonts ns0:ascii="Arial" ns0:hAnsi="Arial"/>
          <ns0:i/>
          <ns0:sz ns0:val="20"/>
        </ns0:rPr>
        <ns0:t>Weighted distribution of incident Social crimes by age group and crime type (primary definition: Solo, Co-offenses, Observed; Social = Co-offenses + Observed).</ns0:t>
      </ns0:r>
    </ns0:p>
    <ns0:p>
      <ns0:pPr>
        <ns0:spacing ns0:before="120"/>
      </ns0:pPr>
      <ns0:r>
        <ns0:rPr>
          <ns0:rFonts ns0:ascii="Arial" ns0:hAnsi="Arial"/>
          <ns0:b/>
          <ns0:sz ns0:val="20"/>
        </ns0:rPr>
        <ns0:t>Total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1560"/>
        <ns0:gridCol ns0:w="1560"/>
        <ns0:gridCol ns0:w="1560"/>
        <ns0:gridCol ns0:w="1560"/>
        <ns0:gridCol ns0:w="1560"/>
        <ns0:gridCol ns0:w="1560"/>
      </ns0:tblGrid>
      <ns0:tr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Solo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Co-offenses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Observed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Social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Total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361160 (47.6%)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208788 (27.5%)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189505 (25.0%)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398293 (52.4%)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759453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1160109 (42.9%)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671277 (24.8%)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870701 (32.2%)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1541978 (57.1%)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2702087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1307821 (42.7%)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997387 (32.6%)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755182 (24.7%)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1752569 (57.3%)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3060390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1506392 (46.4%)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1075954 (33.2%)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660930 (20.4%)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1736884 (53.6%)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3243276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6071722 (57.3%)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2236077 (21.1%)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2282067 (21.5%)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4518144 (42.7%)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10589866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13392373 (64.7%)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2492521 (12.0%)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4803683 (23.2%)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7296204 (35.3%)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20688577 (100.0%)</ns0:t>
            </ns0:r>
          </ns0:p>
        </ns0:tc>
      </ns0:tr>
    </ns0:tbl>
    <ns0:p>
      <ns0:pPr>
        <ns0:spacing ns0:after="120"/>
      </ns0:pPr>
      <ns0:r>
        <ns0:rPr>
          <ns0:rFonts ns0:ascii="Arial" ns0:hAnsi="Arial"/>
          <ns0:sz ns0:val="20"/>
        </ns0:rPr>
        <ns0:t>Note. Ns and percentages are survey-weighted.</ns0:t>
      </ns0:r>
    </ns0:p>
    <ns0:p>
      <ns0:pPr>
        <ns0:spacing ns0:before="120"/>
      </ns0:pPr>
      <ns0:r>
        <ns0:rPr>
          <ns0:rFonts ns0:ascii="Arial" ns0:hAnsi="Arial"/>
          <ns0:b/>
          <ns0:sz ns0:val="20"/>
        </ns0:rPr>
        <ns0:t>Theft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1560"/>
        <ns0:gridCol ns0:w="1560"/>
        <ns0:gridCol ns0:w="1560"/>
        <ns0:gridCol ns0:w="1560"/>
        <ns0:gridCol ns0:w="1560"/>
        <ns0:gridCol ns0:w="1560"/>
      </ns0:tblGrid>
      <ns0:tr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Solo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Co-offenses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Observed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Social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Total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94652 (48.2%)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63800 (32.5%)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37855 (19.3%)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101655 (51.8%)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196307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191323 (42.3%)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142773 (31.6%)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117767 (26.1%)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260541 (57.7%)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451863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347811 (44.8%)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265869 (34.3%)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162318 (20.9%)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428187 (55.2%)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775998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426801 (46.1%)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307599 (33.2%)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191934 (20.7%)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499534 (53.9%)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926334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1487140 (52.7%)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678412 (24.1%)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654385 (23.2%)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1332797 (47.3%)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2819937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2548757 (60.6%)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730038 (17.4%)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923686 (22.0%)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1653724 (39.4%)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4202481 (100.0%)</ns0:t>
            </ns0:r>
          </ns0:p>
        </ns0:tc>
      </ns0:tr>
    </ns0:tbl>
    <ns0:p>
      <ns0:pPr>
        <ns0:spacing ns0:after="120"/>
      </ns0:pPr>
      <ns0:r>
        <ns0:rPr>
          <ns0:rFonts ns0:ascii="Arial" ns0:hAnsi="Arial"/>
          <ns0:sz ns0:val="20"/>
        </ns0:rPr>
        <ns0:t>Note. Ns and percentages are survey-weighted.</ns0:t>
      </ns0:r>
    </ns0:p>
    <ns0:p>
      <ns0:pPr>
        <ns0:spacing ns0:before="120"/>
      </ns0:pPr>
      <ns0:r>
        <ns0:rPr>
          <ns0:rFonts ns0:ascii="Arial" ns0:hAnsi="Arial"/>
          <ns0:b/>
          <ns0:sz ns0:val="20"/>
        </ns0:rPr>
        <ns0:t>Violent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1560"/>
        <ns0:gridCol ns0:w="1560"/>
        <ns0:gridCol ns0:w="1560"/>
        <ns0:gridCol ns0:w="1560"/>
        <ns0:gridCol ns0:w="1560"/>
        <ns0:gridCol ns0:w="1560"/>
      </ns0:tblGrid>
      <ns0:tr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Solo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Co-offenses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Observed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Social</ns0:t>
            </ns0:r>
          </ns0:p>
        </ns0:tc>
        <ns0:tc>
          <ns0:tcPr>
            <ns0:tcW ns0:type="dxa" ns0:w="156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Total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266509 (47.3%)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144988 (25.7%)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151650 (26.9%)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296638 (52.7%)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563147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968786 (43.1%)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528503 (23.5%)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752933 (33.5%)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1281437 (56.9%)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2250222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960010 (42.0%)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731518 (32.0%)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592864 (26.0%)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1324381 (58.0%)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2284392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1079591 (46.6%)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768354 (33.2%)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468996 (20.2%)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1237350 (53.4%)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2316941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4584582 (59.0%)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1557665 (20.0%)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1627682 (20.9%)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3185347 (41.0%)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7769929 (100.0%)</ns0:t>
            </ns0:r>
          </ns0:p>
        </ns0:tc>
      </ns0:tr>
      <ns0:tr>
        <ns0:tc>
          <ns0:tcPr>
            <ns0:tcW ns0:type="dxa" ns0:w="156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10843616 (65.8%)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1762483 (10.7%)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3879997 (23.5%)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5642479 (34.2%)</ns0:t>
            </ns0:r>
          </ns0:p>
        </ns0:tc>
        <ns0:tc>
          <ns0:tcPr>
            <ns0:tcW ns0:type="dxa" ns0:w="1560"/>
          </ns0:tcPr>
          <ns0:p>
            <ns0:r>
              <ns0:rPr>
                <ns0:sz ns0:val="19"/>
              </ns0:rPr>
              <ns0:t>16486096 (100.0%)</ns0:t>
            </ns0:r>
          </ns0:p>
        </ns0:tc>
      </ns0:tr>
    </ns0:tbl>
    <ns0:p>
      <ns0:pPr>
        <ns0:spacing ns0:after="120"/>
      </ns0:pPr>
      <ns0:r>
        <ns0:rPr>
          <ns0:rFonts ns0:ascii="Arial" ns0:hAnsi="Arial"/>
          <ns0:sz ns0:val="20"/>
        </ns0:rPr>
        <ns0:t>Note. Ns and percentages are survey-weighted.</ns0:t>
      </ns0:r>
    </ns0:p>
    <ns0:p>
      <ns0:pPr>
        <ns0:pStyle ns0:val="Heading2"/>
      </ns0:pPr>
      <ns0:r>
        <ns0:t>Figures</ns0:t>
      </ns0:r>
    </ns0:p>
    <ns0:p>
      <ns0:r>
        <ns0:rPr>
          <ns0:b/>
        </ns0:rPr>
        <ns0:t>Figure 1. Predicted probability of Social crimes (Co-offensess + observed) by age group, with 95% confidence intervals.</ns0:t>
      </ns0:r>
    </ns0:p>
    <ns0:p>
      <ns0:pPr>
        <ns0:jc ns0:val="center"/>
      </ns0:pPr>
      <ns0:r>
        <ns0:drawing>
          <ns1:inline>
            <ns1:extent cx="5943600" cy="2409568"/>
            <ns1:docPr id="1" name="Picture 1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ure1.tiff"/>
                    <ns3:cNvPicPr/>
                  </ns3:nvPicPr>
                  <ns3:blipFill>
                    <ns2:blip ns4:embed="rId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43600" cy="2409568"/>
                    </ns2:xfrm>
                    <ns2:prstGeom prst="rect"/>
                  </ns3:spPr>
                </ns3:pic>
              </ns2:graphicData>
            </ns2:graphic>
          </ns1:inline>
        </ns0:drawing>
      </ns0:r>
    </ns0:p>
    <ns0:p>
      <ns0:r>
        <ns0:rPr>
          <ns0:b/>
        </ns0:rPr>
        <ns0:t>Figure 2. Odds ratios from weighted logistic regression predicting Social crimes (Co-offensess + Observed crime) versus Solo crime (reference = age 15–17), with 95% confidence intervals.</ns0:t>
      </ns0:r>
    </ns0:p>
    <ns0:p>
      <ns0:pPr>
        <ns0:jc ns0:val="center"/>
      </ns0:pPr>
      <ns0:r>
        <ns0:drawing>
          <ns1:inline>
            <ns1:extent cx="5943600" cy="2489886"/>
            <ns1:docPr id="2" name="Picture 2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Figure2.tiff"/>
                    <ns3:cNvPicPr/>
                  </ns3:nvPicPr>
                  <ns3:blipFill>
                    <ns2:blip ns4:embed="rId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43600" cy="2489886"/>
                    </ns2:xfrm>
                    <ns2:prstGeom prst="rect"/>
                  </ns3:spPr>
                </ns3:pic>
              </ns2:graphicData>
            </ns2:graphic>
          </ns1:inline>
        </ns0:drawing>
      </ns0:r>
    </ns0:p>
    <ns0:p>
      <ns0:pPr>
        <ns0:pStyle ns0:val="Heading1"/>
      </ns0:pPr>
      <ns0:r>
        <ns0:t>Supplement</ns0:t>
      </ns0:r>
    </ns0:p>
    <ns0:p>
      <ns0:pPr>
        <ns0:pStyle ns0:val="Heading2"/>
      </ns0:pPr>
      <ns0:r>
        <ns0:t>A. Weighted primary definition (social = Co-offensess + observed): Bonferroni pairwise comparisons</ns0:t>
      </ns0:r>
    </ns0:p>
    <ns0:p>
      <ns0:r>
        <ns0:rPr>
          <ns0:rFonts ns0:ascii="Arial" ns0:hAnsi="Arial"/>
          <ns0:b/>
          <ns0:sz ns0:val="20"/>
        </ns0:rPr>
        <ns0:t>Total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0.49 [0.34, 0.72]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0.41 [0.32, 0.53]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0.41 [0.32, 0.51]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0.47 [0.39, 0.57]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0.73 [0.65, 0.83]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0.83 [0.57, 1.21]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0.82 [0.53, 1.27]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0.96 [0.62, 1.48]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1.48 [0.98, 2.23]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.073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0.99 [0.69, 1.42]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1.15 [0.81, 1.64]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1.79 [1.31, 2.44]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1.16 [0.91, 1.49]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1.80 [1.45, 2.24]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1.55 [1.30, 1.84]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</ns0:tbl>
    <ns0:p>
      <ns0:r>
        <ns0:rPr>
          <ns0:rFonts ns0:ascii="Arial" ns0:hAnsi="Arial"/>
          <ns0:b/>
          <ns0:sz ns0:val="20"/>
        </ns0:rPr>
        <ns0:t>Theft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0.60 [0.37, 0.99]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.039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0.48 [0.33, 0.69]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0.53 [0.37, 0.75]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0.55 [0.43, 0.71]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0.72 [0.60, 0.87]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0.79 [0.43, 1.45]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0.87 [0.48, 1.59]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0.92 [0.53, 1.60]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1.20 [0.72, 2.00]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1.11 [0.72, 1.71]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1.16 [0.76, 1.77]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1.52 [1.05, 2.20]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.013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1.05 [0.73, 1.51]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1.37 [0.98, 1.92]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.082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1.31 [0.99, 1.72]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.069</ns0:t>
            </ns0:r>
          </ns0:p>
        </ns0:tc>
      </ns0:tr>
    </ns0:tbl>
    <ns0:p>
      <ns0:r>
        <ns0:rPr>
          <ns0:rFonts ns0:ascii="Arial" ns0:hAnsi="Arial"/>
          <ns0:b/>
          <ns0:sz ns0:val="20"/>
        </ns0:rPr>
        <ns0:t>Violent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0.47 [0.30, 0.73]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0.39 [0.29, 0.53]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0.38 [0.29, 0.50]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0.45 [0.36, 0.58]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0.75 [0.66, 0.85]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0.84 [0.53, 1.33]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0.81 [0.48, 1.36]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0.97 [0.57, 1.65]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1.60 [0.99, 2.59]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.061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0.96 [0.64, 1.45]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1.15 [0.76, 1.74]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1.90 [1.34, 2.70]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1.20 [0.88, 1.65]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1.99 [1.50, 2.63]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1.65 [1.32, 2.06]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</ns0:tbl>
    <ns0:p>
      <ns0:pPr>
        <ns0:pStyle ns0:val="Heading2"/>
      </ns0:pPr>
      <ns0:r>
        <ns0:t>B. Weighted Co-offensesss-only definition (social = Co-offensess only)</ns0:t>
      </ns0:r>
    </ns0:p>
    <ns0:p>
      <ns0:pPr>
        <ns0:pStyle ns0:val="Heading3"/>
      </ns0:pPr>
      <ns0:r>
        <ns0:t>B1. Descriptives</ns0:t>
      </ns0:r>
    </ns0:p>
    <ns0:p>
      <ns0:r>
        <ns0:rPr>
          <ns0:rFonts ns0:ascii="Arial" ns0:hAnsi="Arial"/>
          <ns0:b/>
          <ns0:sz ns0:val="20"/>
        </ns0:rPr>
        <ns0:t>Total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2340"/>
        <ns0:gridCol ns0:w="2340"/>
        <ns0:gridCol ns0:w="2340"/>
        <ns0:gridCol ns0:w="2340"/>
      </ns0:tblGrid>
      <ns0:tr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Weighted N Co-offensess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Weighted % Co-offensess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95% CI (%)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208788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27.5%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[22.80, 32.20]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671277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24.8%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[21.50, 28.20]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997387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32.6%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[29.40, 35.70]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1075954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33.2%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[30.00, 36.30]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2236077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21.1%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[19.80, 22.40]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2492521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12.0%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[11.00, 13.10]</ns0:t>
            </ns0:r>
          </ns0:p>
        </ns0:tc>
      </ns0:tr>
    </ns0:tbl>
    <ns0:p>
      <ns0:r>
        <ns0:rPr>
          <ns0:rFonts ns0:ascii="Arial" ns0:hAnsi="Arial"/>
          <ns0:b/>
          <ns0:sz ns0:val="20"/>
        </ns0:rPr>
        <ns0:t>Theft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2340"/>
        <ns0:gridCol ns0:w="2340"/>
        <ns0:gridCol ns0:w="2340"/>
        <ns0:gridCol ns0:w="2340"/>
      </ns0:tblGrid>
      <ns0:tr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Weighted N Co-offensess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Weighted % Co-offensess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95% CI (%)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63800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32.5%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[24.50, 40.50]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142773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31.6%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[26.40, 36.80]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265869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34.3%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[30.10, 38.40]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307599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33.2%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[29.60, 36.80]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678412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24.1%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[21.50, 26.60]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730038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17.4%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[15.50, 19.20]</ns0:t>
            </ns0:r>
          </ns0:p>
        </ns0:tc>
      </ns0:tr>
    </ns0:tbl>
    <ns0:p>
      <ns0:r>
        <ns0:rPr>
          <ns0:rFonts ns0:ascii="Arial" ns0:hAnsi="Arial"/>
          <ns0:b/>
          <ns0:sz ns0:val="20"/>
        </ns0:rPr>
        <ns0:t>Violent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2340"/>
        <ns0:gridCol ns0:w="2340"/>
        <ns0:gridCol ns0:w="2340"/>
        <ns0:gridCol ns0:w="2340"/>
      </ns0:tblGrid>
      <ns0:tr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Weighted N Co-offensess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Weighted % Co-offensess</ns0:t>
            </ns0:r>
          </ns0:p>
        </ns0:tc>
        <ns0:tc>
          <ns0:tcPr>
            <ns0:tcW ns0:type="dxa" ns0:w="234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95% CI (%)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144988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25.7%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[20.00, 31.50]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528503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23.5%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[19.40, 27.50]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731518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32.0%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[27.90, 36.20]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768354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33.2%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[29.10, 37.20]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1557665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20.0%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[18.50, 21.60]</ns0:t>
            </ns0:r>
          </ns0:p>
        </ns0:tc>
      </ns0:tr>
      <ns0:tr>
        <ns0:tc>
          <ns0:tcPr>
            <ns0:tcW ns0:type="dxa" ns0:w="234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1762483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10.7%</ns0:t>
            </ns0:r>
          </ns0:p>
        </ns0:tc>
        <ns0:tc>
          <ns0:tcPr>
            <ns0:tcW ns0:type="dxa" ns0:w="2340"/>
          </ns0:tcPr>
          <ns0:p>
            <ns0:r>
              <ns0:rPr>
                <ns0:sz ns0:val="19"/>
              </ns0:rPr>
              <ns0:t>[9.20, 12.20]</ns0:t>
            </ns0:r>
          </ns0:p>
        </ns0:tc>
      </ns0:tr>
    </ns0:tbl>
    <ns0:p>
      <ns0:pPr>
        <ns0:pStyle ns0:val="Heading3"/>
      </ns0:pPr>
      <ns0:r>
        <ns0:t>B2. Bonferroni pairwise comparisons</ns0:t>
      </ns0:r>
    </ns0:p>
    <ns0:p>
      <ns0:r>
        <ns0:rPr>
          <ns0:rFonts ns0:ascii="Arial" ns0:hAnsi="Arial"/>
          <ns0:b/>
          <ns0:sz ns0:val="20"/>
        </ns0:rPr>
        <ns0:t>Total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0.36 [0.25, 0.53]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0.41 [0.32, 0.54]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0.28 [0.22, 0.36]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0.28 [0.22, 0.34]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0.51 [0.44, 0.59]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1.15 [0.76, 1.73]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0.78 [0.52, 1.18]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0.76 [0.51, 1.14]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.691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1.42 [0.99, 2.03]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.069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0.68 [0.52, 0.89]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0.67 [0.51, 0.87]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1.23 [0.95, 1.61]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.294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0.97 [0.76, 1.26]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1.81 [1.45, 2.25]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1.85 [1.47, 2.34]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</ns0:tbl>
    <ns0:p>
      <ns0:r>
        <ns0:rPr>
          <ns0:rFonts ns0:ascii="Arial" ns0:hAnsi="Arial"/>
          <ns0:b/>
          <ns0:sz ns0:val="20"/>
        </ns0:rPr>
        <ns0:t>Theft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0.44 [0.24, 0.78]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0.46 [0.30, 0.69]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0.40 [0.30, 0.55]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0.42 [0.31, 0.58]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0.66 [0.55, 0.81]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1.04 [0.55, 1.97]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0.92 [0.50, 1.71]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0.97 [0.52, 1.80]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1.52 [0.85, 2.73]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.538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0.89 [0.59, 1.32]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0.93 [0.62, 1.40]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1.46 [0.96, 2.21]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.122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1.05 [0.74, 1.48]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1.65 [1.21, 2.23]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1.57 [1.14, 2.15]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</ns0:tbl>
    <ns0:p>
      <ns0:r>
        <ns0:rPr>
          <ns0:rFonts ns0:ascii="Arial" ns0:hAnsi="Arial"/>
          <ns0:b/>
          <ns0:sz ns0:val="20"/>
        </ns0:rPr>
        <ns0:t>Violent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0.35 [0.21, 0.56]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0.39 [0.29, 0.53]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0.25 [0.19, 0.35]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0.24 [0.19, 0.31]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0.48 [0.39, 0.58]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1.13 [0.69, 1.85]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0.74 [0.44, 1.24]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0.70 [0.43, 1.13]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.437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1.38 [0.88, 2.16]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.497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0.65 [0.48, 0.89]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0.62 [0.45, 0.86]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1.22 [0.90, 1.66]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.794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0.95 [0.70, 1.29]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1.88 [1.43, 2.47]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1.98 [1.53, 2.56]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</ns0:tbl>
    <ns0:p>
      <ns0:pPr>
        <ns0:pStyle ns0:val="Heading2"/>
      </ns0:pPr>
      <ns0:r>
        <ns0:t>C. Unweighted robustness (Total only; Co-offensesss-only definition)</ns0:t>
      </ns0:r>
    </ns0:p>
    <ns0:p>
      <ns0:r>
        <ns0:t>As a robustness check, we replicated the Co-offensesss-only analysis without survey weights. Results were consistent in direction with the weighted analyses.</ns0:t>
      </ns0:r>
    </ns0:p>
    <ns0:p>
      <ns0:pPr>
        <ns0:pStyle ns0:val="Heading3"/>
      </ns0:pPr>
      <ns0:r>
        <ns0:t>C1. Descriptives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Age group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Unweighted N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Unweighted % Co-offensess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9869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11.7%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&lt;12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386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27.7%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1033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27.7%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1259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35.9%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1432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33.7%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4913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20.6%</ns0:t>
            </ns0:r>
          </ns0:p>
        </ns0:tc>
      </ns0:tr>
    </ns0:tbl>
    <ns0:p>
      <ns0:pPr>
        <ns0:pStyle ns0:val="Heading3"/>
      </ns0:pPr>
      <ns0:r>
        <ns0:t>C3. Bonferroni pairwise comparisons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6" ns0:space="0" ns0:color="000000"/>
          <ns0:bottom ns0:val="single" ns0:sz="6" ns0:space="0" ns0:color="000000"/>
          <ns0:left ns0:val="nil" ns0:sz="6" ns0:space="0" ns0:color="000000"/>
          <ns0:right ns0:val="nil" ns0:sz="6" ns0:space="0" ns0:color="000000"/>
          <ns0:insideH ns0:val="nil" ns0:sz="6" ns0:space="0" ns0:color="000000"/>
          <ns0:insideV ns0:val="nil" ns0:sz="6" ns0:space="0" ns0:color="000000"/>
        </ns0:tblBorders>
      </ns0:tblPr>
      <ns0:tblGrid>
        <ns0:gridCol ns0:w="3120"/>
        <ns0:gridCol ns0:w="3120"/>
        <ns0:gridCol ns0:w="3120"/>
      </ns0:tblGrid>
      <ns0:tr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Contrast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OR [95% CI]</ns0:t>
            </ns0:r>
          </ns0:p>
        </ns0:tc>
        <ns0:tc>
          <ns0:tcPr>
            <ns0:tcW ns0:type="dxa" ns0:w="3120"/>
            <ns0:tcBorders>
              <ns0:top ns0:val="nil"/>
              <ns0:left ns0:val="nil"/>
              <ns0:right ns0:val="nil"/>
              <ns0:bottom ns0:val="single" ns0:sz="6" ns0:space="0" ns0:color="000000"/>
            </ns0:tcBorders>
          </ns0:tcPr>
          <ns0:p>
            <ns0:r>
              <ns0:rPr>
                <ns0:sz ns0:val="19"/>
              </ns0:rPr>
              <ns0:t>Bonferroni p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Under 12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0.34 [0.24, 0.49]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0.34 [0.28, 0.43]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0.24 [0.19, 0.29]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0.26 [0.21, 0.31]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30+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0.51 [0.44, 0.58]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12 - 12–14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1.00 [0.68, 1.48]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0.68 [0.47, 1.00]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.046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0.75 [0.52, 1.09]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.383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Under 12 - 21–29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1.48 [1.04, 2.09]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.016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12–14 - 15–17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0.68 [0.52, 0.89]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0.75 [0.58, 0.98]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.021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12–14 - 21–29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1.47 [1.17, 1.85]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15–17 - 18–20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1.10 [0.87, 1.40]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= 1.000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15–17 - 21–29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2.16 [1.76, 2.64]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  <ns0:tr>
        <ns0:tc>
          <ns0:tcPr>
            <ns0:tcW ns0:type="dxa" ns0:w="3120"/>
          </ns0:tcPr>
          <ns0:p>
            <ns0:r>
              <ns0:rPr>
                <ns0:sz ns0:val="19"/>
              </ns0:rPr>
              <ns0:t>18–20 - 21–29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1.96 [1.61, 2.38]</ns0:t>
            </ns0:r>
          </ns0:p>
        </ns0:tc>
        <ns0:tc>
          <ns0:tcPr>
            <ns0:tcW ns0:type="dxa" ns0:w="3120"/>
          </ns0:tcPr>
          <ns0:p>
            <ns0:r>
              <ns0:rPr>
                <ns0:sz ns0:val="19"/>
              </ns0:rPr>
              <ns0:t>&lt; .001</ns0:t>
            </ns0:r>
          </ns0:p>
        </ns0:tc>
      </ns0:tr>
    </ns0:tbl>
    <ns0:sectPr ns0:rsidR="00E71A8C" ns0:rsidRPr="00980097" ns0:rsidSect="00034616">
      <ns0:pgSz ns0:h="15840" ns0:w="12240"/>
      <ns0:pgMar ns0:bottom="1440" ns0:footer="720" ns0:gutter="0" ns0:header="720" ns0:left="1440" ns0:right="1440" ns0:top="1440"/>
      <ns0:cols ns0:space="720"/>
      <ns0:docGrid ns0:linePitch="360"/>
    </ns0:sectPr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0E309C1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7668448" w:numId="1">
    <w:abstractNumId w:val="8"/>
  </w:num>
  <w:num w16cid:durableId="1051884159" w:numId="2">
    <w:abstractNumId w:val="6"/>
  </w:num>
  <w:num w16cid:durableId="1698241324" w:numId="3">
    <w:abstractNumId w:val="5"/>
  </w:num>
  <w:num w16cid:durableId="1590236535" w:numId="4">
    <w:abstractNumId w:val="4"/>
  </w:num>
  <w:num w16cid:durableId="367994788" w:numId="5">
    <w:abstractNumId w:val="7"/>
  </w:num>
  <w:num w16cid:durableId="637951166" w:numId="6">
    <w:abstractNumId w:val="3"/>
  </w:num>
  <w:num w16cid:durableId="550306680" w:numId="7">
    <w:abstractNumId w:val="2"/>
  </w:num>
  <w:num w16cid:durableId="541942185" w:numId="8">
    <w:abstractNumId w:val="1"/>
  </w:num>
  <w:num w16cid:durableId="432869984" w:numId="9">
    <w:abstractNumId w:val="0"/>
  </w:num>
  <w:num w16cid:durableId="422412083" w:numId="10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BDA"/>
    <w:rsid w:val="0015074B"/>
    <w:rsid w:val="001D5F5F"/>
    <w:rsid w:val="0029639D"/>
    <w:rsid w:val="00326F90"/>
    <w:rsid w:val="004126A1"/>
    <w:rsid w:val="004B672E"/>
    <w:rsid w:val="008B42BD"/>
    <w:rsid w:val="00980097"/>
    <w:rsid w:val="009A065E"/>
    <w:rsid w:val="00AA1D8D"/>
    <w:rsid w:val="00B47730"/>
    <w:rsid w:val="00CB0664"/>
    <w:rsid w:val="00D153CE"/>
    <w:rsid w:val="00E71A8C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8"/>
      <w:u w:val="none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6"/>
      <w:u w:val="non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asciiTheme="majorHAnsi" w:cstheme="majorBidi" w:eastAsiaTheme="majorEastAsia" w:hAnsiTheme="majorHAnsi" w:ascii="Arial" w:hAnsi="Arial"/>
      <w:b/>
      <w:bCs/>
      <w:color w:val="000000"/>
      <w:sz w:val="24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CommentReference" w:type="character">
    <w:name w:val="annotation reference"/>
    <w:basedOn w:val="DefaultParagraphFont"/>
    <w:uiPriority w:val="99"/>
    <w:semiHidden/>
    <w:unhideWhenUsed/>
    <w:rsid w:val="008B42B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8B42BD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8B42BD"/>
    <w:rPr>
      <w:rFonts w:ascii="Times New Roman" w:hAnsi="Times New Roman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8B42B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8B42B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tiff"/><Relationship Id="rId17" Type="http://schemas.openxmlformats.org/officeDocument/2006/relationships/image" Target="media/image6.tiff"/><Relationship Id="rId29" Type="http://schemas.openxmlformats.org/officeDocument/2006/relationships/image" Target="media/rId29.tiff"/><Relationship Id="rId32" Type="http://schemas.openxmlformats.org/officeDocument/2006/relationships/image" Target="media/rId32.tiff"/><Relationship Id="rId1" Type="http://schemas.openxmlformats.org/officeDocument/2006/relationships/image" Target="media/image7.tiff"/><Relationship Id="rId2" Type="http://schemas.openxmlformats.org/officeDocument/2006/relationships/image" Target="media/image8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28</Pages>
  <Words>3928</Words>
  <Characters>22393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2026-02-26T05:11:27Z</dcterms:created>
  <dcterms:modified xsi:type="dcterms:W3CDTF">2026-02-26T05:11:27Z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