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rPr>
          <w:b/>
          <w:bCs/>
        </w:rPr>
        <w:t xml:space="preserve">[Insert manuscript title here]</w:t>
      </w:r>
    </w:p>
    <w:p>
      <w:pPr>
        <w:pStyle w:val="BodyText"/>
      </w:pPr>
      <w:r>
        <w:rPr>
          <w:b/>
          <w:bCs/>
        </w:rPr>
        <w:t xml:space="preserve">Author:</w:t>
      </w:r>
      <w:r>
        <w:t xml:space="preserve"> </w:t>
      </w:r>
      <w:r>
        <w:t xml:space="preserve">Danny Zweben</w:t>
      </w:r>
    </w:p>
    <w:p>
      <w:pPr>
        <w:pStyle w:val="BodyText"/>
      </w:pPr>
      <w:r>
        <w:rPr>
          <w:b/>
          <w:bCs/>
        </w:rPr>
        <w:t xml:space="preserve">Affiliation:</w:t>
      </w:r>
      <w:r>
        <w:t xml:space="preserve"> </w:t>
      </w:r>
      <w:r>
        <w:t xml:space="preserve">[Insert affiliation]</w:t>
      </w:r>
    </w:p>
    <w:p>
      <w:r>
        <w:pict>
          <v:rect style="width:0;height:1.5pt" o:hralign="center" o:hrstd="t" o:hr="t"/>
        </w:pict>
      </w:r>
    </w:p>
    <w:bookmarkEnd w:id="9"/>
    <w:bookmarkStart w:id="20" w:name="method"/>
    <w:p>
      <w:pPr>
        <w:pStyle w:val="Heading1"/>
      </w:pPr>
      <w:r>
        <w:t xml:space="preserve">Method</w:t>
      </w:r>
    </w:p>
    <w:p>
      <w:r>
        <w:rPr>
          <w:b/>
          <w:i w:val="0"/>
        </w:rPr>
        <w:t>Data source and study period</w:t>
      </w:r>
    </w:p>
    <w:p>
      <w:r>
        <w:rPr>
          <w:b w:val="0"/>
          <w:i w:val="0"/>
        </w:rPr>
        <w:t>Data were drawn from the National Crime Victimization Survey (NCVS) and aggregated across survey years 2014–2022. The NCVS is a nationally representative, stratified multistage household survey administered by the U.S. Census Bureau for the Bureau of Justice Statistics (BJS) that captures criminal victimization experiences, including incidents that may not be reported to police (Bureau of Justice Statistics, 2024).</w:t>
      </w:r>
    </w:p>
    <w:p>
      <w:r>
        <w:rPr>
          <w:b w:val="0"/>
          <w:i w:val="0"/>
        </w:rPr>
      </w:r>
    </w:p>
    <w:p>
      <w:r>
        <w:rPr>
          <w:b/>
          <w:i w:val="0"/>
        </w:rPr>
        <w:t>Unit of analysis and analytic samples</w:t>
      </w:r>
    </w:p>
    <w:p>
      <w:r>
        <w:rPr>
          <w:b w:val="0"/>
          <w:i w:val="0"/>
        </w:rPr>
        <w:t>The unit of analysis for the present study was the incident. We analyzed three incident scopes: Total (all coded incidents), Theft (incidents classified as property crime), and Violent (incidents classified as nonfatal personal crime). In addition, we conducted a parallel co-offending analysis using a conventional co-offending-only operationalization of social offending (described below).</w:t>
      </w:r>
    </w:p>
    <w:p>
      <w:r>
        <w:rPr>
          <w:b w:val="0"/>
          <w:i w:val="0"/>
        </w:rPr>
      </w:r>
    </w:p>
    <w:p>
      <w:r>
        <w:rPr>
          <w:b w:val="0"/>
          <w:i w:val="0"/>
        </w:rPr>
        <w:t>Incidents were assigned to an offender age group using the age-group information available in the NCVS incident data. For solo incidents, the incident was assigned the solo offender’s age group. For multiple-offender incidents, the incident was represented using the youngest and oldest co-offender age groups (the age information available for co-offending incidents); when only one of these age fields was present, that value was carried to both fields for consistency. Because youngest/oldest reporting does not directly identify intermediate co-offenders, we examined how often the youngest and oldest age categories were separated by more than one age bracket. Among co-offending incidents with valid youngest and oldest age-group codes, 87.0% (survey-weighted) involved offenders in the same age bracket or an adjacent age bracket, and 13.0% involved a separation of two or more brackets.</w:t>
      </w:r>
    </w:p>
    <w:p>
      <w:r>
        <w:rPr>
          <w:b w:val="0"/>
          <w:i w:val="0"/>
        </w:rPr>
      </w:r>
    </w:p>
    <w:p>
      <w:r>
        <w:rPr>
          <w:b w:val="0"/>
          <w:i w:val="0"/>
        </w:rPr>
        <w:t>Age group categories were: Under 12, 12–14, 15–17, 18–20, 21–29, and 30+.</w:t>
      </w:r>
    </w:p>
    <w:p>
      <w:r>
        <w:rPr>
          <w:b w:val="0"/>
          <w:i w:val="0"/>
        </w:rPr>
      </w:r>
    </w:p>
    <w:p>
      <w:r>
        <w:rPr>
          <w:b/>
          <w:i w:val="0"/>
        </w:rPr>
        <w:t>Measures</w:t>
      </w:r>
    </w:p>
    <w:p>
      <w:r>
        <w:rPr>
          <w:b w:val="0"/>
          <w:i/>
        </w:rPr>
        <w:t>Social context of the incident (primary definition)</w:t>
      </w:r>
    </w:p>
    <w:p>
      <w:r>
        <w:rPr>
          <w:b w:val="0"/>
          <w:i w:val="0"/>
        </w:rPr>
        <w:t>The primary social-context measure categorized incidents as alone, group, or observed. Incidents were coded as group when they involved multiple offenders (co-offending). For solo-offender incidents, we operationalized an observed category to capture incidents in which other people were present but did not intervene to help; otherwise, solo-offender incidents were coded as alone. In the Results, we summarize “social” involvement as the combined proportion of group + observed incidents (vs. alone).</w:t>
      </w:r>
    </w:p>
    <w:p>
      <w:r>
        <w:rPr>
          <w:b w:val="0"/>
          <w:i w:val="0"/>
        </w:rPr>
      </w:r>
    </w:p>
    <w:p>
      <w:r>
        <w:rPr>
          <w:b w:val="0"/>
          <w:i/>
        </w:rPr>
        <w:t>Social context of the incident (co-offending analysis; conventional operationalization)</w:t>
      </w:r>
    </w:p>
    <w:p>
      <w:r>
        <w:rPr>
          <w:b w:val="0"/>
          <w:i w:val="0"/>
        </w:rPr>
        <w:t>To evaluate whether the primary pattern depended on including observation/witnessing as part of “social” offending, we conducted a parallel analysis using a conventional operationalization of social offending as co-offending only. Under this operationalization, incidents were categorized as group (co-offending) versus alone (solo).</w:t>
      </w:r>
    </w:p>
    <w:p>
      <w:r>
        <w:rPr>
          <w:b w:val="0"/>
          <w:i w:val="0"/>
        </w:rPr>
      </w:r>
    </w:p>
    <w:p>
      <w:r>
        <w:rPr>
          <w:b/>
          <w:i w:val="0"/>
        </w:rPr>
        <w:t>Statistical approach</w:t>
      </w:r>
    </w:p>
    <w:p>
      <w:r>
        <w:rPr>
          <w:b w:val="0"/>
          <w:i w:val="0"/>
        </w:rPr>
      </w:r>
    </w:p>
    <w:p>
      <w:r>
        <w:rPr>
          <w:b w:val="0"/>
          <w:i/>
        </w:rPr>
        <w:t>Weighted, design-based inference (primary analyses)</w:t>
      </w:r>
    </w:p>
    <w:p>
      <w:r>
        <w:rPr>
          <w:b w:val="0"/>
          <w:i w:val="0"/>
        </w:rPr>
        <w:t>Primary inferential analyses used NCVS incident weights and replicate weights to obtain nationally representative point estimates and design-consistent variance estimates. Variance estimation used Fay’s balanced repeated replication (BRR) with 160 replicate weights and Fay’s coefficient \(\rho = .30\), consistent with NCVS documentation (Couzens et al., 2014; Shook-Sa et al., 2014; Bureau of Justice Statistics, 2024). Survey-weighted analyses were implemented in R using replicate-weight survey methods.</w:t>
      </w:r>
    </w:p>
    <w:p>
      <w:r>
        <w:rPr>
          <w:b w:val="0"/>
          <w:i w:val="0"/>
        </w:rPr>
      </w:r>
    </w:p>
    <w:p>
      <w:r>
        <w:rPr>
          <w:b w:val="0"/>
          <w:i w:val="0"/>
        </w:rPr>
        <w:t>For categorical comparisons across age groups, we conducted survey-weighted Rao–Scott adjusted tests (reported as F statistics) and followed omnibus tests with Bonferroni-corrected pairwise comparisons for familywise error control. To model the likelihood of solo offending, we fit survey-weighted logistic regression models and reported odds ratios (ORs) with 95% confidence intervals.</w:t>
      </w:r>
    </w:p>
    <w:p>
      <w:r>
        <w:rPr>
          <w:b w:val="0"/>
          <w:i w:val="0"/>
        </w:rPr>
      </w:r>
    </w:p>
    <w:p>
      <w:r>
        <w:rPr>
          <w:b w:val="0"/>
          <w:i w:val="0"/>
        </w:rPr>
        <w:t>To directly evaluate whether ages 18–20 more closely resembled adjacent adolescent (15–17) versus older adult groups, we fit models using two reference categories: 15–17 and 18–20.</w:t>
      </w:r>
    </w:p>
    <w:p>
      <w:r>
        <w:rPr>
          <w:b w:val="0"/>
          <w:i w:val="0"/>
        </w:rPr>
      </w:r>
    </w:p>
    <w:p>
      <w:r>
        <w:rPr>
          <w:b w:val="0"/>
          <w:i/>
        </w:rPr>
        <w:t>Co-offending analysis (weighted; conventional operationalization)</w:t>
      </w:r>
    </w:p>
    <w:p>
      <w:r>
        <w:rPr>
          <w:b w:val="0"/>
          <w:i w:val="0"/>
        </w:rPr>
        <w:t>The co-offending analysis used the same survey-weighted inferential approach described above, but operationalized social offending strictly as co-offending (group vs. alone).</w:t>
      </w:r>
    </w:p>
    <w:p>
      <w:r>
        <w:rPr>
          <w:b w:val="0"/>
          <w:i w:val="0"/>
        </w:rPr>
      </w:r>
    </w:p>
    <w:p>
      <w:r>
        <w:rPr>
          <w:b w:val="0"/>
          <w:i/>
        </w:rPr>
        <w:t>Unweighted robustness checks (supplemental analyses)</w:t>
      </w:r>
    </w:p>
    <w:p>
      <w:r>
        <w:rPr>
          <w:b w:val="0"/>
          <w:i w:val="0"/>
        </w:rPr>
        <w:t>As a supplemental robustness check, we reran descriptives and inferential tests without weights (standard chi-square tests and standard logistic regression) to assess whether the direction and overall pattern of results were consistent when analyses were conducted on the unweighted analytic sample.</w:t>
      </w:r>
    </w:p>
    <w:p>
      <w:r>
        <w:rPr>
          <w:b w:val="0"/>
          <w:i w:val="0"/>
        </w:rPr>
      </w:r>
    </w:p>
    <w:p>
      <w:r>
        <w:rPr>
          <w:b/>
          <w:i w:val="0"/>
        </w:rPr>
        <w:t>Reporting strategy</w:t>
      </w:r>
    </w:p>
    <w:p>
      <w:r>
        <w:t>Results are reported with an emphasis on effect magnitudes (e.g., differences in proportions across age groups and ORs with 95% confidence intervals) alongside inferential statistics. This emphasis is necessary in large-sample settings (including the unweighted analytic sample), where high precision can yield small p-values even for modest differences; accordingly, statistical significance is interpreted in the context of magnitude and interval estimates rather than treated as the primary indicator of substantive importance. Consistent with common practice in weighted logistic regression reporting, we present ORs with 95% CIs and p-values in-line with effect estimates, while anchoring interpretation in the magnitude and precision of estimates.</w:t>
      </w:r>
    </w:p>
    <w:bookmarkStart w:id="10" w:name="data-source-and-study-period"/>
    <w:bookmarkEnd w:id="10"/>
    <w:bookmarkStart w:id="11" w:name="unit-of-analysis-and-analytic-samples"/>
    <w:bookmarkEnd w:id="11"/>
    <w:bookmarkStart w:id="14" w:name="measures"/>
    <w:bookmarkStart w:id="12" w:name="X5a89fc690a0daefa4766c252cfdd5f27a2123a5"/>
    <w:bookmarkEnd w:id="12"/>
    <w:bookmarkStart w:id="13" w:name="X9517164603d191aba13bfd37f61711a0c8e44a0"/>
    <w:bookmarkEnd w:id="13"/>
    <w:bookmarkEnd w:id="14"/>
    <w:bookmarkStart w:id="18" w:name="statistical-approach"/>
    <w:bookmarkStart w:id="15" w:name="X0c5b46293b339e6ceb6acfa2f81aeeb0f9b789c"/>
    <w:bookmarkEnd w:id="15"/>
    <w:bookmarkStart w:id="16" w:name="X1980af0758c281a3d0df60d7ed61d6e72564289"/>
    <w:bookmarkEnd w:id="16"/>
    <w:bookmarkStart w:id="17" w:name="X471dbcc477d955c16362c81a1844264755ab2b0"/>
    <w:bookmarkEnd w:id="17"/>
    <w:bookmarkEnd w:id="18"/>
    <w:bookmarkStart w:id="19" w:name="reporting-strategy"/>
    <w:bookmarkEnd w:id="19"/>
    <w:bookmarkEnd w:id="20"/>
    <w:bookmarkStart w:id="35" w:name="results"/>
    <w:p>
      <w:pPr>
        <w:pStyle w:val="Heading1"/>
      </w:pPr>
      <w:r>
        <w:t xml:space="preserve">Results</w:t>
      </w:r>
    </w:p>
    <w:p>
      <w:r>
        <w:rPr>
          <w:b w:val="0"/>
          <w:i w:val="0"/>
        </w:rPr>
        <w:t>Analytic approach (what follows). Because the NCVS uses a complex, multistage sampling design, the results below are presented using survey weights and replicate weights (Fay’s BRR) to obtain nationally representative point estimates and design-consistent standard errors. For contingency-table comparisons, we report Rao–Scott adjusted statistics (reported as F). Planned pairwise comparisons use Bonferroni correction for familywise error control.</w:t>
      </w:r>
    </w:p>
    <w:p>
      <w:r>
        <w:rPr>
          <w:b w:val="0"/>
          <w:i w:val="0"/>
        </w:rPr>
      </w:r>
    </w:p>
    <w:p>
      <w:r>
        <w:rPr>
          <w:b/>
          <w:i w:val="0"/>
        </w:rPr>
        <w:t>Total incidents (primary definition: alone vs. group vs. observed)</w:t>
      </w:r>
    </w:p>
    <w:p>
      <w:r>
        <w:rPr>
          <w:b w:val="0"/>
          <w:i w:val="0"/>
        </w:rPr>
      </w:r>
    </w:p>
    <w:p>
      <w:r>
        <w:rPr>
          <w:b w:val="0"/>
          <w:i/>
        </w:rPr>
        <w:t>Descriptive patterns across age groups</w:t>
      </w:r>
    </w:p>
    <w:p>
      <w:r>
        <w:rPr>
          <w:b w:val="0"/>
          <w:i w:val="0"/>
        </w:rPr>
        <w:t>Across the total incident sample, the distribution of incident social context varied meaningfully by age group. In the adolescent and emerging-adult ranges, group offending constituted roughly one-third of incidents (15–17: 32.6%; 18–20: 33.2%), whereas it was lower in early adolescence (12–14: 24.8%) and declined further in adulthood (21–29: 21.1%; 30+: 12.0%). Conversely, the proportion of incidents categorized as alone increased steadily from adolescence into adulthood (e.g., 15–17: 42.7%; 18–20: 46.4%; 21–29: 57.3%; 30+: 64.7%). The observed category varied across age (e.g., 12–14: 32.2%; 18–20: 20.4%; 30+: 23.2%).</w:t>
      </w:r>
    </w:p>
    <w:p>
      <w:r>
        <w:rPr>
          <w:b w:val="0"/>
          <w:i w:val="0"/>
        </w:rPr>
      </w:r>
    </w:p>
    <w:p>
      <w:r>
        <w:rPr>
          <w:b w:val="0"/>
          <w:i/>
        </w:rPr>
        <w:t>Rao–Scott test and planned pairwise comparisons</w:t>
      </w:r>
    </w:p>
    <w:p>
      <w:r>
        <w:rPr>
          <w:b w:val="0"/>
          <w:i w:val="0"/>
        </w:rPr>
        <w:t>A survey-weighted omnibus test indicated that age group was associated with the solo-versus-social distribution (Rao–Scott adjusted F(4.50) = 108.08, p &lt; .001). Descriptively, the percent of incidents classified as social (co-offending + observed) was high across youth groups—Under 12 = 52.4%, 12–14 = 57.1%, 15–17 = 57.3%, and 18–20 = 53.6%—and lower in adulthood (21–29 = 42.7%, 30+ = 35.3%). Relative to ages 30+, the youth groups differed by +17.1 to +22.0 percentage points in social involvement; relative to ages 21–29, the youth groups differed by +9.7 to +14.6 points.</w:t>
      </w:r>
    </w:p>
    <w:p>
      <w:r>
        <w:rPr>
          <w:b w:val="0"/>
          <w:i w:val="0"/>
        </w:rPr>
      </w:r>
    </w:p>
    <w:p>
      <w:r>
        <w:rPr>
          <w:b w:val="0"/>
          <w:i w:val="0"/>
        </w:rPr>
        <w:t>Planned Bonferroni-adjusted pairwise comparisons (15 pairwise tests total; Appendix C, Table C1) were consistent with this pattern. For 15–17 vs. 18–20, the pairwise test was not statistically significant after correction (adjusted p = 1.00; Δ = 3.7 points). In contrast, teen–adult comparisons were statistically significant after correction (15–17 vs. 21–29: adjusted p &lt; .001; Δ = 14.6 points; 15–17 vs. 30+: adjusted p &lt; .001; Δ = 22.0 points).</w:t>
      </w:r>
    </w:p>
    <w:p>
      <w:r>
        <w:rPr>
          <w:b w:val="0"/>
          <w:i w:val="0"/>
        </w:rPr>
      </w:r>
    </w:p>
    <w:p>
      <w:r>
        <w:rPr>
          <w:b w:val="0"/>
          <w:i/>
        </w:rPr>
        <w:t>Logistic regression: likelihood of solo offending</w:t>
      </w:r>
    </w:p>
    <w:p>
      <w:r>
        <w:rPr>
          <w:b w:val="0"/>
          <w:i w:val="0"/>
        </w:rPr>
        <w:t>Survey-weighted logistic regression models further quantified the magnitude of age differences in solo offending. Using 15–17 as the reference category, odds of solo offending were higher for adults (21–29: OR = 1.80, 95% CI [1.56, 2.08], p &lt; .001; 30+: OR = 2.46, 95% CI [2.11, 2.87], p &lt; .001), whereas differences between adjacent adolescent/emerging-adult categories were comparatively small (18–20 vs. 15–17: OR = 1.16, 95% CI [0.98, 1.37], p = .08).</w:t>
      </w:r>
    </w:p>
    <w:p>
      <w:r>
        <w:rPr>
          <w:b w:val="0"/>
          <w:i w:val="0"/>
        </w:rPr>
      </w:r>
    </w:p>
    <w:p>
      <w:r>
        <w:rPr>
          <w:b w:val="0"/>
          <w:i w:val="0"/>
        </w:rPr>
        <w:t>Using 18–20 as the reference category, 15–17 did not differ meaningfully in the odds of solo offending (15–17 vs. 18–20: OR = 0.86, 95% CI [0.73, 1.02], p = .08), whereas adult groups again showed substantially higher odds (21–29: OR = 1.55, 95% CI [1.38, 1.74], p &lt; .001; 30+: OR = 2.12, 95% CI [1.87, 2.40], p &lt; .001).</w:t>
      </w:r>
    </w:p>
    <w:p>
      <w:r>
        <w:rPr>
          <w:b w:val="0"/>
          <w:i w:val="0"/>
        </w:rPr>
      </w:r>
    </w:p>
    <w:p>
      <w:r>
        <w:rPr>
          <w:b w:val="0"/>
          <w:i w:val="0"/>
        </w:rPr>
        <w:t>Notably, the 18–20 and 15–17 comparisons were similar in magnitude and not statistically distinguishable at α = .05 in these models (both ps = .08), consistent with the descriptive pattern that group offending peaks in mid-adolescence and remains elevated into ages 18–20 before declining in older adulthood.</w:t>
      </w:r>
    </w:p>
    <w:p>
      <w:r>
        <w:rPr>
          <w:b w:val="0"/>
          <w:i w:val="0"/>
        </w:rPr>
      </w:r>
    </w:p>
    <w:p>
      <w:r>
        <w:rPr>
          <w:b/>
          <w:i w:val="0"/>
        </w:rPr>
        <w:t>Theft incidents</w:t>
      </w:r>
    </w:p>
    <w:p>
      <w:r>
        <w:rPr>
          <w:b w:val="0"/>
          <w:i w:val="0"/>
        </w:rPr>
      </w:r>
    </w:p>
    <w:p>
      <w:r>
        <w:rPr>
          <w:b w:val="0"/>
          <w:i/>
        </w:rPr>
        <w:t>Descriptive patterns across age groups</w:t>
      </w:r>
    </w:p>
    <w:p>
      <w:r>
        <w:rPr>
          <w:b w:val="0"/>
          <w:i w:val="0"/>
        </w:rPr>
        <w:t>In the theft-only scope, group offending again peaked in adolescence and early emerging adulthood, with group incidents comprising 34.3% (15–17) and 33.2% (18–20) of theft incidents. Group offending declined in adulthood (21–29: 24.1%; 30+: 17.4%), whereas solo theft increased with age (15–17: 44.8%; 18–20: 46.1%; 21–29: 52.7%; 30+: 60.6%).</w:t>
      </w:r>
    </w:p>
    <w:p>
      <w:r>
        <w:rPr>
          <w:b w:val="0"/>
          <w:i w:val="0"/>
        </w:rPr>
      </w:r>
    </w:p>
    <w:p>
      <w:r>
        <w:rPr>
          <w:b w:val="0"/>
          <w:i/>
        </w:rPr>
        <w:t>Rao–Scott test and planned pairwise comparisons</w:t>
      </w:r>
    </w:p>
    <w:p>
      <w:r>
        <w:rPr>
          <w:b w:val="0"/>
          <w:i w:val="0"/>
        </w:rPr>
        <w:t>A survey-weighted omnibus test indicated age differences in theft social context (Rao–Scott adjusted F(4.59) = 29.00, p &lt; .001). Descriptively, social theft (co-offending + observed) was higher in youth groups (Under 12 = 51.8%, 12–14 = 57.7%, 15–17 = 55.2%, 18–20 = 53.9%) than in adulthood (21–29 = 47.3%, 30+ = 39.4%). Relative to ages 30+, youth–adult differences ranged from +12.4 to +18.3 percentage points.</w:t>
      </w:r>
    </w:p>
    <w:p>
      <w:r>
        <w:rPr>
          <w:b w:val="0"/>
          <w:i w:val="0"/>
        </w:rPr>
      </w:r>
    </w:p>
    <w:p>
      <w:r>
        <w:rPr>
          <w:b w:val="0"/>
          <w:i w:val="0"/>
        </w:rPr>
        <w:t>Planned Bonferroni-adjusted pairwise comparisons (15 total; Appendix C, Table C2) were consistent with these descriptives. The 15–17 vs. 18–20 comparison was not statistically significant after correction (adjusted p = 1.00; Δ = 1.3 points). Teen–adult comparisons were statistically significant after correction (15–17 vs. 21–29: adjusted p &lt; .001; Δ = 7.9 points; 15–17 vs. 30+: adjusted p &lt; .001; Δ = 15.8 points).</w:t>
      </w:r>
    </w:p>
    <w:p>
      <w:r>
        <w:rPr>
          <w:b w:val="0"/>
          <w:i w:val="0"/>
        </w:rPr>
      </w:r>
    </w:p>
    <w:p>
      <w:r>
        <w:rPr>
          <w:b w:val="0"/>
          <w:i w:val="0"/>
        </w:rPr>
        <w:t>Survey-weighted logistic models told the same story in effect-size terms. Using 15–17 as the reference, odds of solo theft were higher in adulthood (21–29: OR = 1.37, 95% CI [1.10, 1.72], p = .01; 30+: OR = 1.90, 95% CI [1.50, 2.41], p &lt; .001), while differences between 18–20 and 15–17 were small (18–20 vs. 15–17: OR = 1.05, 95% CI [0.82, 1.34], p = .68). Using 18–20 as the reference, 15–17 remained similar (15–17 vs. 18–20: OR = 0.95, 95% CI [0.75, 1.21], p = .68), and adult groups again showed higher odds of solo offending (21–29: OR = 1.31, 95% CI [1.08, 1.57], p = .01; 30+: OR = 1.80, 95% CI [1.52, 2.14], p &lt; .001).</w:t>
      </w:r>
    </w:p>
    <w:p>
      <w:r>
        <w:rPr>
          <w:b w:val="0"/>
          <w:i w:val="0"/>
        </w:rPr>
      </w:r>
    </w:p>
    <w:p>
      <w:r>
        <w:rPr>
          <w:b/>
          <w:i w:val="0"/>
        </w:rPr>
        <w:t>Violent incidents</w:t>
      </w:r>
    </w:p>
    <w:p>
      <w:r>
        <w:rPr>
          <w:b w:val="0"/>
          <w:i w:val="0"/>
        </w:rPr>
      </w:r>
    </w:p>
    <w:p>
      <w:r>
        <w:rPr>
          <w:b w:val="0"/>
          <w:i/>
        </w:rPr>
        <w:t>Descriptive patterns across age groups</w:t>
      </w:r>
    </w:p>
    <w:p>
      <w:r>
        <w:rPr>
          <w:b w:val="0"/>
          <w:i w:val="0"/>
        </w:rPr>
        <w:t>In the violent-only scope, the age pattern was similar but more pronounced: group offending constituted 32.0% (15–17) and 33.2% (18–20) of violent incidents, compared with 23.5% in 12–14 and 10.7% in 30+. Solo violence increased sharply in adulthood (21–29: 59.0%; 30+: 65.8%), while observed violence was highest in early adolescence (12–14: 33.5%).</w:t>
      </w:r>
    </w:p>
    <w:p>
      <w:r>
        <w:rPr>
          <w:b w:val="0"/>
          <w:i w:val="0"/>
        </w:rPr>
      </w:r>
    </w:p>
    <w:p>
      <w:r>
        <w:rPr>
          <w:b w:val="0"/>
          <w:i/>
        </w:rPr>
        <w:t>Rao–Scott test and planned pairwise comparisons</w:t>
      </w:r>
    </w:p>
    <w:p>
      <w:r>
        <w:rPr>
          <w:b w:val="0"/>
          <w:i w:val="0"/>
        </w:rPr>
        <w:t>A survey-weighted omnibus test indicated age differences in violent-incident social context (Rao–Scott adjusted F(4.46) = 83.88, p &lt; .001). Descriptively, social violence (co-offending + observed) was higher in youth groups (Under 12 = 52.7%, 12–14 = 56.9%, 15–17 = 58.0%, 18–20 = 53.4%) than in adulthood (21–29 = 41.0%, 30+ = 34.2%). Relative to ages 30+, youth–adult differences ranged from +18.5 to +23.8 percentage points.</w:t>
      </w:r>
    </w:p>
    <w:p>
      <w:r>
        <w:rPr>
          <w:b w:val="0"/>
          <w:i w:val="0"/>
        </w:rPr>
      </w:r>
    </w:p>
    <w:p>
      <w:r>
        <w:rPr>
          <w:b w:val="0"/>
          <w:i w:val="0"/>
        </w:rPr>
        <w:t>Planned Bonferroni-adjusted pairwise comparisons (15 total; Appendix C, Table C3) were consistent with these descriptives. The 15–17 vs. 18–20 comparison was not statistically significant after correction (adjusted p = 1.00; Δ = 4.6 points), whereas 15–17 vs. 21–29 and 15–17 vs. 30+ were statistically significant after correction (both adjusted ps &lt; .001; Δ = 17.0 and 23.8 points, respectively).</w:t>
      </w:r>
    </w:p>
    <w:p>
      <w:r>
        <w:rPr>
          <w:b w:val="0"/>
          <w:i w:val="0"/>
        </w:rPr>
      </w:r>
    </w:p>
    <w:p>
      <w:r>
        <w:rPr>
          <w:b w:val="0"/>
          <w:i w:val="0"/>
        </w:rPr>
        <w:t>In survey-weighted logistic models with 15–17 as the reference category, odds of solo offending were substantially higher in adulthood (21–29: OR = 1.99, 95% CI [1.64, 2.40], p &lt; .001; 30+: OR = 2.65, 95% CI [2.20, 3.20], p &lt; .001), whereas 18–20 was similar to 15–17 (18–20 vs. 15–17: OR = 1.20, 95% CI [0.97, 1.49], p = .09). With 18–20 as the reference, 15–17 again showed similar odds (15–17 vs. 18–20: OR = 0.83, 95% CI [0.67, 1.03], p = .09), while adult groups had higher odds (21–29: OR = 1.65, 95% CI [1.42, 1.92], p &lt; .001; 30+: OR = 2.20, 95% CI [1.88, 2.59], p &lt; .001).</w:t>
      </w:r>
    </w:p>
    <w:p>
      <w:r>
        <w:rPr>
          <w:b w:val="0"/>
          <w:i w:val="0"/>
        </w:rPr>
      </w:r>
    </w:p>
    <w:p>
      <w:r>
        <w:rPr>
          <w:b/>
          <w:i w:val="0"/>
        </w:rPr>
        <w:t>Co-offending analysis (conventional operationalization)</w:t>
      </w:r>
    </w:p>
    <w:p>
      <w:r>
        <w:rPr>
          <w:b w:val="0"/>
          <w:i w:val="0"/>
        </w:rPr>
      </w:r>
    </w:p>
    <w:p>
      <w:r>
        <w:rPr>
          <w:b w:val="0"/>
          <w:i w:val="0"/>
        </w:rPr>
        <w:t>In addition to the primary analyses based on the novel social-context measure (co-offending + observed), we examined the proportion of incidents involving co-offending only. This provides a parallel set of results using a commonly used definition of “social offending,” allowing the same survey-weighted methods to be applied under that framework.</w:t>
      </w:r>
    </w:p>
    <w:p>
      <w:r>
        <w:rPr>
          <w:b w:val="0"/>
          <w:i w:val="0"/>
        </w:rPr>
      </w:r>
    </w:p>
    <w:p>
      <w:r>
        <w:rPr>
          <w:b w:val="0"/>
          <w:i/>
        </w:rPr>
        <w:t>Descriptive patterns</w:t>
      </w:r>
    </w:p>
    <w:p>
      <w:r>
        <w:rPr>
          <w:b w:val="0"/>
          <w:i w:val="0"/>
        </w:rPr>
        <w:t>Under the co-offending-only operationalization, the proportion of incidents classified as co-offending (group) was highest in 15–17 (31.78%) and 18–20 (32.41%), intermediate in Under 12 (27.14%) and 12–14 (24.72%), and lower in adulthood (21–29: 20.21%; 30+: 12.05%).</w:t>
      </w:r>
    </w:p>
    <w:p>
      <w:r>
        <w:rPr>
          <w:b w:val="0"/>
          <w:i w:val="0"/>
        </w:rPr>
      </w:r>
    </w:p>
    <w:p>
      <w:r>
        <w:rPr>
          <w:b w:val="0"/>
          <w:i/>
        </w:rPr>
        <w:t>Rao–Scott test and logistic regression</w:t>
      </w:r>
    </w:p>
    <w:p>
      <w:r>
        <w:rPr>
          <w:b w:val="0"/>
          <w:i w:val="0"/>
        </w:rPr>
        <w:t>A survey-weighted omnibus test indicated that age group was associated with the group-versus-solo distribution under the co-offending analysis (conventional operationalization) (Rao–Scott adjusted F(4.47) = 99.10, p &lt; .001). Descriptively, co-offending was highest in 15–17 (31.78%) and 18–20 (32.41%) and lower in adulthood (21–29 = 20.21%, 30+ = 12.05%), corresponding to differences of +11.6 to +20.4 percentage points when comparing 15–17/18–20 to adult groups.</w:t>
      </w:r>
    </w:p>
    <w:p>
      <w:r>
        <w:rPr>
          <w:b w:val="0"/>
          <w:i w:val="0"/>
        </w:rPr>
      </w:r>
    </w:p>
    <w:p>
      <w:r>
        <w:rPr>
          <w:b w:val="0"/>
          <w:i w:val="0"/>
        </w:rPr>
        <w:t>In survey-weighted logistic models using 15–17 as the reference category, 18–20 again showed very similar odds of solo offending (18–20 vs. 15–17: OR = 0.97, 95% CI [0.82, 1.16], p = .74), whereas adult groups had substantially higher odds of solo offending (21–29: OR = 1.84, 95% CI [1.58, 2.13], p &lt; .001; 30+: OR = 3.40, 95% CI [2.88, 4.02], p &lt; .001). Using 18–20 as the reference category, 15–17 remained similar (15–17 vs. 18–20: OR = 1.03, 95% CI [0.87, 1.22], p = .74), while adult groups again had higher odds (21–29: OR = 1.89, 95% CI [1.61, 2.23], p &lt; .001; 30+: OR = 3.50, 95% CI [3.02, 4.05], p &lt; .001).</w:t>
      </w:r>
    </w:p>
    <w:p>
      <w:r>
        <w:rPr>
          <w:b w:val="0"/>
          <w:i w:val="0"/>
        </w:rPr>
      </w:r>
    </w:p>
    <w:p>
      <w:r>
        <w:rPr>
          <w:b w:val="0"/>
          <w:i w:val="0"/>
        </w:rPr>
        <w:t>Together, these results indicate that the adolescent/emerging-adult elevation in group offending is not an artifact of classifying observation/witnessing as “social.”</w:t>
      </w:r>
    </w:p>
    <w:p>
      <w:r>
        <w:rPr>
          <w:b w:val="0"/>
          <w:i w:val="0"/>
        </w:rPr>
      </w:r>
    </w:p>
    <w:p>
      <w:r>
        <w:rPr>
          <w:b/>
          <w:i w:val="0"/>
        </w:rPr>
        <w:t>Supplemental (unweighted) robustness checks</w:t>
      </w:r>
    </w:p>
    <w:p>
      <w:r>
        <w:rPr>
          <w:b w:val="0"/>
          <w:i w:val="0"/>
        </w:rPr>
      </w:r>
    </w:p>
    <w:p>
      <w:r>
        <w:rPr>
          <w:b w:val="0"/>
          <w:i w:val="0"/>
        </w:rPr>
        <w:t>Unweighted supplemental analyses (standard chi-square tests and standard logistic regressions) were consistent with the primary weighted analyses in the direction and overall pattern of results across total, theft, violent, and the co-offending analysis. Because the unweighted analytic sample is large, these supplemental results underscore that the substantive conclusions are not dependent on the weighting/replicate-weight framework; accordingly, interpretation is centered on effect magnitudes and interval estimates rather than statistical significance alone.</w:t>
      </w:r>
    </w:p>
    <w:bookmarkStart w:id="24" w:name="Xc719a3d7ec973b3808f2a201b2b0c490c6ca8da"/>
    <w:bookmarkStart w:id="21" w:name="descriptive-patterns-across-age-groups"/>
    <w:bookmarkEnd w:id="21"/>
    <w:bookmarkStart w:id="22" w:name="X254f8439d1e46147fd0b9dcc2511e857f469aca"/>
    <w:bookmarkEnd w:id="22"/>
    <w:bookmarkStart w:id="23" w:name="X30234be92aec53c290901ac6d59961b0f058fde"/>
    <w:bookmarkEnd w:id="23"/>
    <w:bookmarkEnd w:id="24"/>
    <w:bookmarkStart w:id="27" w:name="theft-incidents"/>
    <w:bookmarkStart w:id="25" w:name="descriptive-patterns-across-age-groups-1"/>
    <w:bookmarkEnd w:id="25"/>
    <w:bookmarkStart w:id="26" w:name="Xbae6394e953b6ef738a836fa9dcebe26f6493f8"/>
    <w:bookmarkEnd w:id="26"/>
    <w:bookmarkEnd w:id="27"/>
    <w:bookmarkStart w:id="30" w:name="violent-incidents"/>
    <w:bookmarkStart w:id="28" w:name="descriptive-patterns-across-age-groups-2"/>
    <w:bookmarkEnd w:id="28"/>
    <w:bookmarkStart w:id="29" w:name="X06dfb66a72194dabdc550e782fb2608e83f71bf"/>
    <w:bookmarkEnd w:id="29"/>
    <w:bookmarkEnd w:id="30"/>
    <w:bookmarkStart w:id="33" w:name="Xf8729d33be0525ba5d270b7d0d68ab92e2e48af"/>
    <w:bookmarkStart w:id="31" w:name="descriptive-patterns"/>
    <w:bookmarkEnd w:id="31"/>
    <w:bookmarkStart w:id="32" w:name="X04ebb735ff3d837e1fef08930d54e289d8ef4f8"/>
    <w:bookmarkEnd w:id="32"/>
    <w:bookmarkEnd w:id="33"/>
    <w:bookmarkStart w:id="34" w:name="X45f1fe6fff8a303e75287ecc2b14eb5336befcb"/>
    <w:bookmarkEnd w:id="34"/>
    <w:bookmarkEnd w:id="35"/>
    <w:bookmarkStart w:id="36" w:name="references"/>
    <w:p>
      <w:pPr>
        <w:pStyle w:val="Heading1"/>
      </w:pPr>
      <w:r>
        <w:t xml:space="preserve">References</w:t>
      </w:r>
    </w:p>
    <w:p>
      <w:pPr>
        <w:pStyle w:val="FirstParagraph"/>
      </w:pPr>
      <w:r>
        <w:t xml:space="preserve">(draft)</w:t>
      </w:r>
    </w:p>
    <w:p>
      <w:pPr>
        <w:pStyle w:val="BodyText"/>
      </w:pPr>
      <w:r>
        <w:t xml:space="preserve">Bureau of Justice Statistics. (2024).</w:t>
      </w:r>
      <w:r>
        <w:t xml:space="preserve"> </w:t>
      </w:r>
      <w:r>
        <w:rPr>
          <w:i/>
          <w:iCs/>
        </w:rPr>
        <w:t xml:space="preserve">NCVS Select – Personal population and personal victimization codebook: Legacy version, 1993–2024.</w:t>
      </w:r>
      <w:r>
        <w:t xml:space="preserve"> </w:t>
      </w:r>
      <w:r>
        <w:t xml:space="preserve">U.S. Department of Justice, Office of Justice Programs. https://www.icpsr.umich.edu/web/NACJD/series/95</w:t>
      </w:r>
    </w:p>
    <w:p>
      <w:pPr>
        <w:pStyle w:val="BodyText"/>
      </w:pPr>
      <w:r>
        <w:t xml:space="preserve">Couzens, G. L., Shook-Sa, B., Lee, P., &amp; Berzofsky, M. (2014).</w:t>
      </w:r>
      <w:r>
        <w:t xml:space="preserve"> </w:t>
      </w:r>
      <w:r>
        <w:rPr>
          <w:i/>
          <w:iCs/>
        </w:rPr>
        <w:t xml:space="preserve">Users’ guide to the National Crime Victimization Survey (NCVS) generalized variance functions.</w:t>
      </w:r>
      <w:r>
        <w:t xml:space="preserve"> </w:t>
      </w:r>
      <w:r>
        <w:t xml:space="preserve">RTI International.</w:t>
      </w:r>
    </w:p>
    <w:p>
      <w:pPr>
        <w:pStyle w:val="BodyText"/>
      </w:pPr>
      <w:r>
        <w:t xml:space="preserve">Shook-Sa, B., Couzens, G. L., &amp; Berzofsky, M. (2014).</w:t>
      </w:r>
      <w:r>
        <w:t xml:space="preserve"> </w:t>
      </w:r>
      <w:r>
        <w:rPr>
          <w:i/>
          <w:iCs/>
        </w:rPr>
        <w:t xml:space="preserve">User’s guide to National Crime Victimization Survey (NCVS) direct variance estimation.</w:t>
      </w:r>
      <w:r>
        <w:t xml:space="preserve"> </w:t>
      </w:r>
      <w:r>
        <w:t xml:space="preserve">RTI International.</w:t>
      </w:r>
    </w:p>
    <w:p>
      <w:pPr>
        <w:pStyle w:val="BodyText"/>
      </w:pPr>
      <w:r>
        <w:t xml:space="preserve">Zhai, Y., Xiong, Y., Almaawali, M., Tian, X., &amp; Du, X. (2025). National trends of mental health and service utilisation among international students in the USA, 2015–2024.</w:t>
      </w:r>
      <w:r>
        <w:t xml:space="preserve"> </w:t>
      </w:r>
      <w:r>
        <w:rPr>
          <w:i/>
          <w:iCs/>
        </w:rPr>
        <w:t xml:space="preserve">General Psychiatry, 38</w:t>
      </w:r>
      <w:r>
        <w:t xml:space="preserve">(5), e102124. https://doi.org/10.1136/gpsych-2025-102124</w:t>
      </w:r>
    </w:p>
    <w:p>
      <w:pPr>
        <w:pStyle w:val="BodyText"/>
      </w:pPr>
      <w:r>
        <w:t xml:space="preserve">Zhang, Y., Chen, X., Tang, Y., Wang, Y., Zhang, K., &amp; Wu, J. (2025). Dietary inflammatory potential exacerbates sleep disturbances in hyperlipidemia: Mediation by BMI and neuro-metabolic pathways.</w:t>
      </w:r>
      <w:r>
        <w:t xml:space="preserve"> </w:t>
      </w:r>
      <w:r>
        <w:rPr>
          <w:i/>
          <w:iCs/>
        </w:rPr>
        <w:t xml:space="preserve">BMC Nutrition, 11</w:t>
      </w:r>
      <w:r>
        <w:t xml:space="preserve">, 182. https://doi.org/10.1186/s40795-025-01157-4</w:t>
      </w:r>
    </w:p>
    <w:bookmarkEnd w:id="36"/>
    <w:p>
      <w:r>
        <w:br w:type="page"/>
      </w:r>
    </w:p>
    <w:p>
      <w:r>
        <w:rPr>
          <w:b/>
        </w:rPr>
        <w:t>Tables</w:t>
      </w:r>
    </w:p>
    <w:p/>
    <w:p>
      <w:r>
        <w:rPr>
          <w:b/>
        </w:rPr>
        <w:t>Table 1</w:t>
      </w:r>
    </w:p>
    <w:p>
      <w:r>
        <w:rPr>
          <w:i/>
        </w:rPr>
        <w:t>Weighted distribution of incident social context by age group (primary definition: Alone vs Group vs Observed).</w:t>
      </w:r>
    </w:p>
    <w:p>
      <w:r>
        <w:rPr>
          <w:b/>
        </w:rPr>
        <w:t>Total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47.6%</w:t>
            </w:r>
          </w:p>
        </w:tc>
        <w:tc>
          <w:tcPr>
            <w:tcW w:type="dxa" w:w="2340"/>
          </w:tcPr>
          <w:p>
            <w:r>
              <w:rPr>
                <w:rFonts w:ascii="Times New Roman" w:hAnsi="Times New Roman"/>
                <w:sz w:val="22"/>
              </w:rPr>
              <w:t>27.5%</w:t>
            </w:r>
          </w:p>
        </w:tc>
        <w:tc>
          <w:tcPr>
            <w:tcW w:type="dxa" w:w="2340"/>
          </w:tcPr>
          <w:p>
            <w:r>
              <w:rPr>
                <w:rFonts w:ascii="Times New Roman" w:hAnsi="Times New Roman"/>
                <w:sz w:val="22"/>
              </w:rPr>
              <w:t>25%</w:t>
            </w:r>
          </w:p>
        </w:tc>
      </w:tr>
      <w:tr>
        <w:tc>
          <w:tcPr>
            <w:tcW w:type="dxa" w:w="2340"/>
          </w:tcPr>
          <w:p>
            <w:r>
              <w:rPr>
                <w:rFonts w:ascii="Times New Roman" w:hAnsi="Times New Roman"/>
                <w:sz w:val="22"/>
              </w:rPr>
              <w:t>12–14</w:t>
            </w:r>
          </w:p>
        </w:tc>
        <w:tc>
          <w:tcPr>
            <w:tcW w:type="dxa" w:w="2340"/>
          </w:tcPr>
          <w:p>
            <w:r>
              <w:rPr>
                <w:rFonts w:ascii="Times New Roman" w:hAnsi="Times New Roman"/>
                <w:sz w:val="22"/>
              </w:rPr>
              <w:t>42.9%</w:t>
            </w:r>
          </w:p>
        </w:tc>
        <w:tc>
          <w:tcPr>
            <w:tcW w:type="dxa" w:w="2340"/>
          </w:tcPr>
          <w:p>
            <w:r>
              <w:rPr>
                <w:rFonts w:ascii="Times New Roman" w:hAnsi="Times New Roman"/>
                <w:sz w:val="22"/>
              </w:rPr>
              <w:t>24.8%</w:t>
            </w:r>
          </w:p>
        </w:tc>
        <w:tc>
          <w:tcPr>
            <w:tcW w:type="dxa" w:w="2340"/>
          </w:tcPr>
          <w:p>
            <w:r>
              <w:rPr>
                <w:rFonts w:ascii="Times New Roman" w:hAnsi="Times New Roman"/>
                <w:sz w:val="22"/>
              </w:rPr>
              <w:t>32.2%</w:t>
            </w:r>
          </w:p>
        </w:tc>
      </w:tr>
      <w:tr>
        <w:tc>
          <w:tcPr>
            <w:tcW w:type="dxa" w:w="2340"/>
          </w:tcPr>
          <w:p>
            <w:r>
              <w:rPr>
                <w:rFonts w:ascii="Times New Roman" w:hAnsi="Times New Roman"/>
                <w:sz w:val="22"/>
              </w:rPr>
              <w:t>15–17</w:t>
            </w:r>
          </w:p>
        </w:tc>
        <w:tc>
          <w:tcPr>
            <w:tcW w:type="dxa" w:w="2340"/>
          </w:tcPr>
          <w:p>
            <w:r>
              <w:rPr>
                <w:rFonts w:ascii="Times New Roman" w:hAnsi="Times New Roman"/>
                <w:sz w:val="22"/>
              </w:rPr>
              <w:t>42.7%</w:t>
            </w:r>
          </w:p>
        </w:tc>
        <w:tc>
          <w:tcPr>
            <w:tcW w:type="dxa" w:w="2340"/>
          </w:tcPr>
          <w:p>
            <w:r>
              <w:rPr>
                <w:rFonts w:ascii="Times New Roman" w:hAnsi="Times New Roman"/>
                <w:sz w:val="22"/>
              </w:rPr>
              <w:t>32.6%</w:t>
            </w:r>
          </w:p>
        </w:tc>
        <w:tc>
          <w:tcPr>
            <w:tcW w:type="dxa" w:w="2340"/>
          </w:tcPr>
          <w:p>
            <w:r>
              <w:rPr>
                <w:rFonts w:ascii="Times New Roman" w:hAnsi="Times New Roman"/>
                <w:sz w:val="22"/>
              </w:rPr>
              <w:t>24.7%</w:t>
            </w:r>
          </w:p>
        </w:tc>
      </w:tr>
      <w:tr>
        <w:tc>
          <w:tcPr>
            <w:tcW w:type="dxa" w:w="2340"/>
          </w:tcPr>
          <w:p>
            <w:r>
              <w:rPr>
                <w:rFonts w:ascii="Times New Roman" w:hAnsi="Times New Roman"/>
                <w:sz w:val="22"/>
              </w:rPr>
              <w:t>18–20</w:t>
            </w:r>
          </w:p>
        </w:tc>
        <w:tc>
          <w:tcPr>
            <w:tcW w:type="dxa" w:w="2340"/>
          </w:tcPr>
          <w:p>
            <w:r>
              <w:rPr>
                <w:rFonts w:ascii="Times New Roman" w:hAnsi="Times New Roman"/>
                <w:sz w:val="22"/>
              </w:rPr>
              <w:t>46.4%</w:t>
            </w:r>
          </w:p>
        </w:tc>
        <w:tc>
          <w:tcPr>
            <w:tcW w:type="dxa" w:w="2340"/>
          </w:tcPr>
          <w:p>
            <w:r>
              <w:rPr>
                <w:rFonts w:ascii="Times New Roman" w:hAnsi="Times New Roman"/>
                <w:sz w:val="22"/>
              </w:rPr>
              <w:t>33.2%</w:t>
            </w:r>
          </w:p>
        </w:tc>
        <w:tc>
          <w:tcPr>
            <w:tcW w:type="dxa" w:w="2340"/>
          </w:tcPr>
          <w:p>
            <w:r>
              <w:rPr>
                <w:rFonts w:ascii="Times New Roman" w:hAnsi="Times New Roman"/>
                <w:sz w:val="22"/>
              </w:rPr>
              <w:t>20.4%</w:t>
            </w:r>
          </w:p>
        </w:tc>
      </w:tr>
      <w:tr>
        <w:tc>
          <w:tcPr>
            <w:tcW w:type="dxa" w:w="2340"/>
          </w:tcPr>
          <w:p>
            <w:r>
              <w:rPr>
                <w:rFonts w:ascii="Times New Roman" w:hAnsi="Times New Roman"/>
                <w:sz w:val="22"/>
              </w:rPr>
              <w:t>21–29</w:t>
            </w:r>
          </w:p>
        </w:tc>
        <w:tc>
          <w:tcPr>
            <w:tcW w:type="dxa" w:w="2340"/>
          </w:tcPr>
          <w:p>
            <w:r>
              <w:rPr>
                <w:rFonts w:ascii="Times New Roman" w:hAnsi="Times New Roman"/>
                <w:sz w:val="22"/>
              </w:rPr>
              <w:t>57.3%</w:t>
            </w:r>
          </w:p>
        </w:tc>
        <w:tc>
          <w:tcPr>
            <w:tcW w:type="dxa" w:w="2340"/>
          </w:tcPr>
          <w:p>
            <w:r>
              <w:rPr>
                <w:rFonts w:ascii="Times New Roman" w:hAnsi="Times New Roman"/>
                <w:sz w:val="22"/>
              </w:rPr>
              <w:t>21.1%</w:t>
            </w:r>
          </w:p>
        </w:tc>
        <w:tc>
          <w:tcPr>
            <w:tcW w:type="dxa" w:w="2340"/>
          </w:tcPr>
          <w:p>
            <w:r>
              <w:rPr>
                <w:rFonts w:ascii="Times New Roman" w:hAnsi="Times New Roman"/>
                <w:sz w:val="22"/>
              </w:rPr>
              <w:t>21.5%</w:t>
            </w:r>
          </w:p>
        </w:tc>
      </w:tr>
      <w:tr>
        <w:tc>
          <w:tcPr>
            <w:tcW w:type="dxa" w:w="2340"/>
          </w:tcPr>
          <w:p>
            <w:r>
              <w:rPr>
                <w:rFonts w:ascii="Times New Roman" w:hAnsi="Times New Roman"/>
                <w:sz w:val="22"/>
              </w:rPr>
              <w:t>30+</w:t>
            </w:r>
          </w:p>
        </w:tc>
        <w:tc>
          <w:tcPr>
            <w:tcW w:type="dxa" w:w="2340"/>
          </w:tcPr>
          <w:p>
            <w:r>
              <w:rPr>
                <w:rFonts w:ascii="Times New Roman" w:hAnsi="Times New Roman"/>
                <w:sz w:val="22"/>
              </w:rPr>
              <w:t>64.7%</w:t>
            </w:r>
          </w:p>
        </w:tc>
        <w:tc>
          <w:tcPr>
            <w:tcW w:type="dxa" w:w="2340"/>
          </w:tcPr>
          <w:p>
            <w:r>
              <w:rPr>
                <w:rFonts w:ascii="Times New Roman" w:hAnsi="Times New Roman"/>
                <w:sz w:val="22"/>
              </w:rPr>
              <w:t>12%</w:t>
            </w:r>
          </w:p>
        </w:tc>
        <w:tc>
          <w:tcPr>
            <w:tcW w:type="dxa" w:w="2340"/>
          </w:tcPr>
          <w:p>
            <w:r>
              <w:rPr>
                <w:rFonts w:ascii="Times New Roman" w:hAnsi="Times New Roman"/>
                <w:sz w:val="22"/>
              </w:rPr>
              <w:t>23.2%</w:t>
            </w:r>
          </w:p>
        </w:tc>
      </w:tr>
    </w:tbl>
    <w:p/>
    <w:p>
      <w:r>
        <w:rPr>
          <w:b/>
        </w:rPr>
        <w:t>Theft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48.2%</w:t>
            </w:r>
          </w:p>
        </w:tc>
        <w:tc>
          <w:tcPr>
            <w:tcW w:type="dxa" w:w="2340"/>
          </w:tcPr>
          <w:p>
            <w:r>
              <w:rPr>
                <w:rFonts w:ascii="Times New Roman" w:hAnsi="Times New Roman"/>
                <w:sz w:val="22"/>
              </w:rPr>
              <w:t>32.5%</w:t>
            </w:r>
          </w:p>
        </w:tc>
        <w:tc>
          <w:tcPr>
            <w:tcW w:type="dxa" w:w="2340"/>
          </w:tcPr>
          <w:p>
            <w:r>
              <w:rPr>
                <w:rFonts w:ascii="Times New Roman" w:hAnsi="Times New Roman"/>
                <w:sz w:val="22"/>
              </w:rPr>
              <w:t>19.3%</w:t>
            </w:r>
          </w:p>
        </w:tc>
      </w:tr>
      <w:tr>
        <w:tc>
          <w:tcPr>
            <w:tcW w:type="dxa" w:w="2340"/>
          </w:tcPr>
          <w:p>
            <w:r>
              <w:rPr>
                <w:rFonts w:ascii="Times New Roman" w:hAnsi="Times New Roman"/>
                <w:sz w:val="22"/>
              </w:rPr>
              <w:t>12–14</w:t>
            </w:r>
          </w:p>
        </w:tc>
        <w:tc>
          <w:tcPr>
            <w:tcW w:type="dxa" w:w="2340"/>
          </w:tcPr>
          <w:p>
            <w:r>
              <w:rPr>
                <w:rFonts w:ascii="Times New Roman" w:hAnsi="Times New Roman"/>
                <w:sz w:val="22"/>
              </w:rPr>
              <w:t>42.3%</w:t>
            </w:r>
          </w:p>
        </w:tc>
        <w:tc>
          <w:tcPr>
            <w:tcW w:type="dxa" w:w="2340"/>
          </w:tcPr>
          <w:p>
            <w:r>
              <w:rPr>
                <w:rFonts w:ascii="Times New Roman" w:hAnsi="Times New Roman"/>
                <w:sz w:val="22"/>
              </w:rPr>
              <w:t>31.6%</w:t>
            </w:r>
          </w:p>
        </w:tc>
        <w:tc>
          <w:tcPr>
            <w:tcW w:type="dxa" w:w="2340"/>
          </w:tcPr>
          <w:p>
            <w:r>
              <w:rPr>
                <w:rFonts w:ascii="Times New Roman" w:hAnsi="Times New Roman"/>
                <w:sz w:val="22"/>
              </w:rPr>
              <w:t>26.1%</w:t>
            </w:r>
          </w:p>
        </w:tc>
      </w:tr>
      <w:tr>
        <w:tc>
          <w:tcPr>
            <w:tcW w:type="dxa" w:w="2340"/>
          </w:tcPr>
          <w:p>
            <w:r>
              <w:rPr>
                <w:rFonts w:ascii="Times New Roman" w:hAnsi="Times New Roman"/>
                <w:sz w:val="22"/>
              </w:rPr>
              <w:t>15–17</w:t>
            </w:r>
          </w:p>
        </w:tc>
        <w:tc>
          <w:tcPr>
            <w:tcW w:type="dxa" w:w="2340"/>
          </w:tcPr>
          <w:p>
            <w:r>
              <w:rPr>
                <w:rFonts w:ascii="Times New Roman" w:hAnsi="Times New Roman"/>
                <w:sz w:val="22"/>
              </w:rPr>
              <w:t>44.8%</w:t>
            </w:r>
          </w:p>
        </w:tc>
        <w:tc>
          <w:tcPr>
            <w:tcW w:type="dxa" w:w="2340"/>
          </w:tcPr>
          <w:p>
            <w:r>
              <w:rPr>
                <w:rFonts w:ascii="Times New Roman" w:hAnsi="Times New Roman"/>
                <w:sz w:val="22"/>
              </w:rPr>
              <w:t>34.3%</w:t>
            </w:r>
          </w:p>
        </w:tc>
        <w:tc>
          <w:tcPr>
            <w:tcW w:type="dxa" w:w="2340"/>
          </w:tcPr>
          <w:p>
            <w:r>
              <w:rPr>
                <w:rFonts w:ascii="Times New Roman" w:hAnsi="Times New Roman"/>
                <w:sz w:val="22"/>
              </w:rPr>
              <w:t>20.9%</w:t>
            </w:r>
          </w:p>
        </w:tc>
      </w:tr>
      <w:tr>
        <w:tc>
          <w:tcPr>
            <w:tcW w:type="dxa" w:w="2340"/>
          </w:tcPr>
          <w:p>
            <w:r>
              <w:rPr>
                <w:rFonts w:ascii="Times New Roman" w:hAnsi="Times New Roman"/>
                <w:sz w:val="22"/>
              </w:rPr>
              <w:t>18–20</w:t>
            </w:r>
          </w:p>
        </w:tc>
        <w:tc>
          <w:tcPr>
            <w:tcW w:type="dxa" w:w="2340"/>
          </w:tcPr>
          <w:p>
            <w:r>
              <w:rPr>
                <w:rFonts w:ascii="Times New Roman" w:hAnsi="Times New Roman"/>
                <w:sz w:val="22"/>
              </w:rPr>
              <w:t>46.1%</w:t>
            </w:r>
          </w:p>
        </w:tc>
        <w:tc>
          <w:tcPr>
            <w:tcW w:type="dxa" w:w="2340"/>
          </w:tcPr>
          <w:p>
            <w:r>
              <w:rPr>
                <w:rFonts w:ascii="Times New Roman" w:hAnsi="Times New Roman"/>
                <w:sz w:val="22"/>
              </w:rPr>
              <w:t>33.2%</w:t>
            </w:r>
          </w:p>
        </w:tc>
        <w:tc>
          <w:tcPr>
            <w:tcW w:type="dxa" w:w="2340"/>
          </w:tcPr>
          <w:p>
            <w:r>
              <w:rPr>
                <w:rFonts w:ascii="Times New Roman" w:hAnsi="Times New Roman"/>
                <w:sz w:val="22"/>
              </w:rPr>
              <w:t>20.7%</w:t>
            </w:r>
          </w:p>
        </w:tc>
      </w:tr>
      <w:tr>
        <w:tc>
          <w:tcPr>
            <w:tcW w:type="dxa" w:w="2340"/>
          </w:tcPr>
          <w:p>
            <w:r>
              <w:rPr>
                <w:rFonts w:ascii="Times New Roman" w:hAnsi="Times New Roman"/>
                <w:sz w:val="22"/>
              </w:rPr>
              <w:t>21–29</w:t>
            </w:r>
          </w:p>
        </w:tc>
        <w:tc>
          <w:tcPr>
            <w:tcW w:type="dxa" w:w="2340"/>
          </w:tcPr>
          <w:p>
            <w:r>
              <w:rPr>
                <w:rFonts w:ascii="Times New Roman" w:hAnsi="Times New Roman"/>
                <w:sz w:val="22"/>
              </w:rPr>
              <w:t>52.7%</w:t>
            </w:r>
          </w:p>
        </w:tc>
        <w:tc>
          <w:tcPr>
            <w:tcW w:type="dxa" w:w="2340"/>
          </w:tcPr>
          <w:p>
            <w:r>
              <w:rPr>
                <w:rFonts w:ascii="Times New Roman" w:hAnsi="Times New Roman"/>
                <w:sz w:val="22"/>
              </w:rPr>
              <w:t>24.1%</w:t>
            </w:r>
          </w:p>
        </w:tc>
        <w:tc>
          <w:tcPr>
            <w:tcW w:type="dxa" w:w="2340"/>
          </w:tcPr>
          <w:p>
            <w:r>
              <w:rPr>
                <w:rFonts w:ascii="Times New Roman" w:hAnsi="Times New Roman"/>
                <w:sz w:val="22"/>
              </w:rPr>
              <w:t>23.2%</w:t>
            </w:r>
          </w:p>
        </w:tc>
      </w:tr>
      <w:tr>
        <w:tc>
          <w:tcPr>
            <w:tcW w:type="dxa" w:w="2340"/>
          </w:tcPr>
          <w:p>
            <w:r>
              <w:rPr>
                <w:rFonts w:ascii="Times New Roman" w:hAnsi="Times New Roman"/>
                <w:sz w:val="22"/>
              </w:rPr>
              <w:t>30+</w:t>
            </w:r>
          </w:p>
        </w:tc>
        <w:tc>
          <w:tcPr>
            <w:tcW w:type="dxa" w:w="2340"/>
          </w:tcPr>
          <w:p>
            <w:r>
              <w:rPr>
                <w:rFonts w:ascii="Times New Roman" w:hAnsi="Times New Roman"/>
                <w:sz w:val="22"/>
              </w:rPr>
              <w:t>60.6%</w:t>
            </w:r>
          </w:p>
        </w:tc>
        <w:tc>
          <w:tcPr>
            <w:tcW w:type="dxa" w:w="2340"/>
          </w:tcPr>
          <w:p>
            <w:r>
              <w:rPr>
                <w:rFonts w:ascii="Times New Roman" w:hAnsi="Times New Roman"/>
                <w:sz w:val="22"/>
              </w:rPr>
              <w:t>17.4%</w:t>
            </w:r>
          </w:p>
        </w:tc>
        <w:tc>
          <w:tcPr>
            <w:tcW w:type="dxa" w:w="2340"/>
          </w:tcPr>
          <w:p>
            <w:r>
              <w:rPr>
                <w:rFonts w:ascii="Times New Roman" w:hAnsi="Times New Roman"/>
                <w:sz w:val="22"/>
              </w:rPr>
              <w:t>22%</w:t>
            </w:r>
          </w:p>
        </w:tc>
      </w:tr>
    </w:tbl>
    <w:p/>
    <w:p>
      <w:r>
        <w:rPr>
          <w:b/>
        </w:rPr>
        <w:t>Violent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47.3%</w:t>
            </w:r>
          </w:p>
        </w:tc>
        <w:tc>
          <w:tcPr>
            <w:tcW w:type="dxa" w:w="2340"/>
          </w:tcPr>
          <w:p>
            <w:r>
              <w:rPr>
                <w:rFonts w:ascii="Times New Roman" w:hAnsi="Times New Roman"/>
                <w:sz w:val="22"/>
              </w:rPr>
              <w:t>25.7%</w:t>
            </w:r>
          </w:p>
        </w:tc>
        <w:tc>
          <w:tcPr>
            <w:tcW w:type="dxa" w:w="2340"/>
          </w:tcPr>
          <w:p>
            <w:r>
              <w:rPr>
                <w:rFonts w:ascii="Times New Roman" w:hAnsi="Times New Roman"/>
                <w:sz w:val="22"/>
              </w:rPr>
              <w:t>26.9%</w:t>
            </w:r>
          </w:p>
        </w:tc>
      </w:tr>
      <w:tr>
        <w:tc>
          <w:tcPr>
            <w:tcW w:type="dxa" w:w="2340"/>
          </w:tcPr>
          <w:p>
            <w:r>
              <w:rPr>
                <w:rFonts w:ascii="Times New Roman" w:hAnsi="Times New Roman"/>
                <w:sz w:val="22"/>
              </w:rPr>
              <w:t>12–14</w:t>
            </w:r>
          </w:p>
        </w:tc>
        <w:tc>
          <w:tcPr>
            <w:tcW w:type="dxa" w:w="2340"/>
          </w:tcPr>
          <w:p>
            <w:r>
              <w:rPr>
                <w:rFonts w:ascii="Times New Roman" w:hAnsi="Times New Roman"/>
                <w:sz w:val="22"/>
              </w:rPr>
              <w:t>43.1%</w:t>
            </w:r>
          </w:p>
        </w:tc>
        <w:tc>
          <w:tcPr>
            <w:tcW w:type="dxa" w:w="2340"/>
          </w:tcPr>
          <w:p>
            <w:r>
              <w:rPr>
                <w:rFonts w:ascii="Times New Roman" w:hAnsi="Times New Roman"/>
                <w:sz w:val="22"/>
              </w:rPr>
              <w:t>23.5%</w:t>
            </w:r>
          </w:p>
        </w:tc>
        <w:tc>
          <w:tcPr>
            <w:tcW w:type="dxa" w:w="2340"/>
          </w:tcPr>
          <w:p>
            <w:r>
              <w:rPr>
                <w:rFonts w:ascii="Times New Roman" w:hAnsi="Times New Roman"/>
                <w:sz w:val="22"/>
              </w:rPr>
              <w:t>33.5%</w:t>
            </w:r>
          </w:p>
        </w:tc>
      </w:tr>
      <w:tr>
        <w:tc>
          <w:tcPr>
            <w:tcW w:type="dxa" w:w="2340"/>
          </w:tcPr>
          <w:p>
            <w:r>
              <w:rPr>
                <w:rFonts w:ascii="Times New Roman" w:hAnsi="Times New Roman"/>
                <w:sz w:val="22"/>
              </w:rPr>
              <w:t>15–17</w:t>
            </w:r>
          </w:p>
        </w:tc>
        <w:tc>
          <w:tcPr>
            <w:tcW w:type="dxa" w:w="2340"/>
          </w:tcPr>
          <w:p>
            <w:r>
              <w:rPr>
                <w:rFonts w:ascii="Times New Roman" w:hAnsi="Times New Roman"/>
                <w:sz w:val="22"/>
              </w:rPr>
              <w:t>42%</w:t>
            </w:r>
          </w:p>
        </w:tc>
        <w:tc>
          <w:tcPr>
            <w:tcW w:type="dxa" w:w="2340"/>
          </w:tcPr>
          <w:p>
            <w:r>
              <w:rPr>
                <w:rFonts w:ascii="Times New Roman" w:hAnsi="Times New Roman"/>
                <w:sz w:val="22"/>
              </w:rPr>
              <w:t>32%</w:t>
            </w:r>
          </w:p>
        </w:tc>
        <w:tc>
          <w:tcPr>
            <w:tcW w:type="dxa" w:w="2340"/>
          </w:tcPr>
          <w:p>
            <w:r>
              <w:rPr>
                <w:rFonts w:ascii="Times New Roman" w:hAnsi="Times New Roman"/>
                <w:sz w:val="22"/>
              </w:rPr>
              <w:t>26%</w:t>
            </w:r>
          </w:p>
        </w:tc>
      </w:tr>
      <w:tr>
        <w:tc>
          <w:tcPr>
            <w:tcW w:type="dxa" w:w="2340"/>
          </w:tcPr>
          <w:p>
            <w:r>
              <w:rPr>
                <w:rFonts w:ascii="Times New Roman" w:hAnsi="Times New Roman"/>
                <w:sz w:val="22"/>
              </w:rPr>
              <w:t>18–20</w:t>
            </w:r>
          </w:p>
        </w:tc>
        <w:tc>
          <w:tcPr>
            <w:tcW w:type="dxa" w:w="2340"/>
          </w:tcPr>
          <w:p>
            <w:r>
              <w:rPr>
                <w:rFonts w:ascii="Times New Roman" w:hAnsi="Times New Roman"/>
                <w:sz w:val="22"/>
              </w:rPr>
              <w:t>46.6%</w:t>
            </w:r>
          </w:p>
        </w:tc>
        <w:tc>
          <w:tcPr>
            <w:tcW w:type="dxa" w:w="2340"/>
          </w:tcPr>
          <w:p>
            <w:r>
              <w:rPr>
                <w:rFonts w:ascii="Times New Roman" w:hAnsi="Times New Roman"/>
                <w:sz w:val="22"/>
              </w:rPr>
              <w:t>33.2%</w:t>
            </w:r>
          </w:p>
        </w:tc>
        <w:tc>
          <w:tcPr>
            <w:tcW w:type="dxa" w:w="2340"/>
          </w:tcPr>
          <w:p>
            <w:r>
              <w:rPr>
                <w:rFonts w:ascii="Times New Roman" w:hAnsi="Times New Roman"/>
                <w:sz w:val="22"/>
              </w:rPr>
              <w:t>20.2%</w:t>
            </w:r>
          </w:p>
        </w:tc>
      </w:tr>
      <w:tr>
        <w:tc>
          <w:tcPr>
            <w:tcW w:type="dxa" w:w="2340"/>
          </w:tcPr>
          <w:p>
            <w:r>
              <w:rPr>
                <w:rFonts w:ascii="Times New Roman" w:hAnsi="Times New Roman"/>
                <w:sz w:val="22"/>
              </w:rPr>
              <w:t>21–29</w:t>
            </w:r>
          </w:p>
        </w:tc>
        <w:tc>
          <w:tcPr>
            <w:tcW w:type="dxa" w:w="2340"/>
          </w:tcPr>
          <w:p>
            <w:r>
              <w:rPr>
                <w:rFonts w:ascii="Times New Roman" w:hAnsi="Times New Roman"/>
                <w:sz w:val="22"/>
              </w:rPr>
              <w:t>59%</w:t>
            </w:r>
          </w:p>
        </w:tc>
        <w:tc>
          <w:tcPr>
            <w:tcW w:type="dxa" w:w="2340"/>
          </w:tcPr>
          <w:p>
            <w:r>
              <w:rPr>
                <w:rFonts w:ascii="Times New Roman" w:hAnsi="Times New Roman"/>
                <w:sz w:val="22"/>
              </w:rPr>
              <w:t>20%</w:t>
            </w:r>
          </w:p>
        </w:tc>
        <w:tc>
          <w:tcPr>
            <w:tcW w:type="dxa" w:w="2340"/>
          </w:tcPr>
          <w:p>
            <w:r>
              <w:rPr>
                <w:rFonts w:ascii="Times New Roman" w:hAnsi="Times New Roman"/>
                <w:sz w:val="22"/>
              </w:rPr>
              <w:t>20.9%</w:t>
            </w:r>
          </w:p>
        </w:tc>
      </w:tr>
      <w:tr>
        <w:tc>
          <w:tcPr>
            <w:tcW w:type="dxa" w:w="2340"/>
          </w:tcPr>
          <w:p>
            <w:r>
              <w:rPr>
                <w:rFonts w:ascii="Times New Roman" w:hAnsi="Times New Roman"/>
                <w:sz w:val="22"/>
              </w:rPr>
              <w:t>30+</w:t>
            </w:r>
          </w:p>
        </w:tc>
        <w:tc>
          <w:tcPr>
            <w:tcW w:type="dxa" w:w="2340"/>
          </w:tcPr>
          <w:p>
            <w:r>
              <w:rPr>
                <w:rFonts w:ascii="Times New Roman" w:hAnsi="Times New Roman"/>
                <w:sz w:val="22"/>
              </w:rPr>
              <w:t>65.8%</w:t>
            </w:r>
          </w:p>
        </w:tc>
        <w:tc>
          <w:tcPr>
            <w:tcW w:type="dxa" w:w="2340"/>
          </w:tcPr>
          <w:p>
            <w:r>
              <w:rPr>
                <w:rFonts w:ascii="Times New Roman" w:hAnsi="Times New Roman"/>
                <w:sz w:val="22"/>
              </w:rPr>
              <w:t>10.7%</w:t>
            </w:r>
          </w:p>
        </w:tc>
        <w:tc>
          <w:tcPr>
            <w:tcW w:type="dxa" w:w="2340"/>
          </w:tcPr>
          <w:p>
            <w:r>
              <w:rPr>
                <w:rFonts w:ascii="Times New Roman" w:hAnsi="Times New Roman"/>
                <w:sz w:val="22"/>
              </w:rPr>
              <w:t>23.5%</w:t>
            </w:r>
          </w:p>
        </w:tc>
      </w:tr>
    </w:tbl>
    <w:p/>
    <w:p>
      <w:r>
        <w:rPr>
          <w:i/>
        </w:rPr>
        <w:t>Note. “Social” in the narrative results is computed as Group + Observed (i.e., 100% − Alone). Percentages are survey-weighted.</w:t>
      </w:r>
    </w:p>
    <w:p/>
    <w:p>
      <w:r>
        <w:rPr>
          <w:b/>
        </w:rPr>
        <w:t>Table 2</w:t>
      </w:r>
    </w:p>
    <w:p>
      <w:r>
        <w:rPr>
          <w:i/>
        </w:rPr>
        <w:t>Weighted distribution of incident social context by age group (co-offending analysis: Alone vs Group).</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sz w:val="22"/>
              </w:rPr>
              <w:t>age_group</w:t>
            </w:r>
          </w:p>
        </w:tc>
        <w:tc>
          <w:tcPr>
            <w:tcW w:type="dxa" w:w="3120"/>
          </w:tcPr>
          <w:p>
            <w:r>
              <w:rPr>
                <w:rFonts w:ascii="Times New Roman" w:hAnsi="Times New Roman"/>
                <w:sz w:val="22"/>
              </w:rPr>
              <w:t>alone</w:t>
            </w:r>
          </w:p>
        </w:tc>
        <w:tc>
          <w:tcPr>
            <w:tcW w:type="dxa" w:w="3120"/>
          </w:tcPr>
          <w:p>
            <w:r>
              <w:rPr>
                <w:rFonts w:ascii="Times New Roman" w:hAnsi="Times New Roman"/>
                <w:sz w:val="22"/>
              </w:rPr>
              <w:t>group</w:t>
            </w:r>
          </w:p>
        </w:tc>
      </w:tr>
      <w:tr>
        <w:tc>
          <w:tcPr>
            <w:tcW w:type="dxa" w:w="3120"/>
          </w:tcPr>
          <w:p>
            <w:r>
              <w:rPr>
                <w:rFonts w:ascii="Times New Roman" w:hAnsi="Times New Roman"/>
                <w:sz w:val="22"/>
              </w:rPr>
              <w:t>Under 12</w:t>
            </w:r>
          </w:p>
        </w:tc>
        <w:tc>
          <w:tcPr>
            <w:tcW w:type="dxa" w:w="3120"/>
          </w:tcPr>
          <w:p>
            <w:r>
              <w:rPr>
                <w:rFonts w:ascii="Times New Roman" w:hAnsi="Times New Roman"/>
                <w:sz w:val="22"/>
              </w:rPr>
              <w:t>72.86</w:t>
            </w:r>
          </w:p>
        </w:tc>
        <w:tc>
          <w:tcPr>
            <w:tcW w:type="dxa" w:w="3120"/>
          </w:tcPr>
          <w:p>
            <w:r>
              <w:rPr>
                <w:rFonts w:ascii="Times New Roman" w:hAnsi="Times New Roman"/>
                <w:sz w:val="22"/>
              </w:rPr>
              <w:t>27.14</w:t>
            </w:r>
          </w:p>
        </w:tc>
      </w:tr>
      <w:tr>
        <w:tc>
          <w:tcPr>
            <w:tcW w:type="dxa" w:w="3120"/>
          </w:tcPr>
          <w:p>
            <w:r>
              <w:rPr>
                <w:rFonts w:ascii="Times New Roman" w:hAnsi="Times New Roman"/>
                <w:sz w:val="22"/>
              </w:rPr>
              <w:t>12–14</w:t>
            </w:r>
          </w:p>
        </w:tc>
        <w:tc>
          <w:tcPr>
            <w:tcW w:type="dxa" w:w="3120"/>
          </w:tcPr>
          <w:p>
            <w:r>
              <w:rPr>
                <w:rFonts w:ascii="Times New Roman" w:hAnsi="Times New Roman"/>
                <w:sz w:val="22"/>
              </w:rPr>
              <w:t>75.28</w:t>
            </w:r>
          </w:p>
        </w:tc>
        <w:tc>
          <w:tcPr>
            <w:tcW w:type="dxa" w:w="3120"/>
          </w:tcPr>
          <w:p>
            <w:r>
              <w:rPr>
                <w:rFonts w:ascii="Times New Roman" w:hAnsi="Times New Roman"/>
                <w:sz w:val="22"/>
              </w:rPr>
              <w:t>24.72</w:t>
            </w:r>
          </w:p>
        </w:tc>
      </w:tr>
      <w:tr>
        <w:tc>
          <w:tcPr>
            <w:tcW w:type="dxa" w:w="3120"/>
          </w:tcPr>
          <w:p>
            <w:r>
              <w:rPr>
                <w:rFonts w:ascii="Times New Roman" w:hAnsi="Times New Roman"/>
                <w:sz w:val="22"/>
              </w:rPr>
              <w:t>15–17</w:t>
            </w:r>
          </w:p>
        </w:tc>
        <w:tc>
          <w:tcPr>
            <w:tcW w:type="dxa" w:w="3120"/>
          </w:tcPr>
          <w:p>
            <w:r>
              <w:rPr>
                <w:rFonts w:ascii="Times New Roman" w:hAnsi="Times New Roman"/>
                <w:sz w:val="22"/>
              </w:rPr>
              <w:t>68.22</w:t>
            </w:r>
          </w:p>
        </w:tc>
        <w:tc>
          <w:tcPr>
            <w:tcW w:type="dxa" w:w="3120"/>
          </w:tcPr>
          <w:p>
            <w:r>
              <w:rPr>
                <w:rFonts w:ascii="Times New Roman" w:hAnsi="Times New Roman"/>
                <w:sz w:val="22"/>
              </w:rPr>
              <w:t>31.78</w:t>
            </w:r>
          </w:p>
        </w:tc>
      </w:tr>
      <w:tr>
        <w:tc>
          <w:tcPr>
            <w:tcW w:type="dxa" w:w="3120"/>
          </w:tcPr>
          <w:p>
            <w:r>
              <w:rPr>
                <w:rFonts w:ascii="Times New Roman" w:hAnsi="Times New Roman"/>
                <w:sz w:val="22"/>
              </w:rPr>
              <w:t>18–20</w:t>
            </w:r>
          </w:p>
        </w:tc>
        <w:tc>
          <w:tcPr>
            <w:tcW w:type="dxa" w:w="3120"/>
          </w:tcPr>
          <w:p>
            <w:r>
              <w:rPr>
                <w:rFonts w:ascii="Times New Roman" w:hAnsi="Times New Roman"/>
                <w:sz w:val="22"/>
              </w:rPr>
              <w:t>67.59</w:t>
            </w:r>
          </w:p>
        </w:tc>
        <w:tc>
          <w:tcPr>
            <w:tcW w:type="dxa" w:w="3120"/>
          </w:tcPr>
          <w:p>
            <w:r>
              <w:rPr>
                <w:rFonts w:ascii="Times New Roman" w:hAnsi="Times New Roman"/>
                <w:sz w:val="22"/>
              </w:rPr>
              <w:t>32.41</w:t>
            </w:r>
          </w:p>
        </w:tc>
      </w:tr>
      <w:tr>
        <w:tc>
          <w:tcPr>
            <w:tcW w:type="dxa" w:w="3120"/>
          </w:tcPr>
          <w:p>
            <w:r>
              <w:rPr>
                <w:rFonts w:ascii="Times New Roman" w:hAnsi="Times New Roman"/>
                <w:sz w:val="22"/>
              </w:rPr>
              <w:t>21–29</w:t>
            </w:r>
          </w:p>
        </w:tc>
        <w:tc>
          <w:tcPr>
            <w:tcW w:type="dxa" w:w="3120"/>
          </w:tcPr>
          <w:p>
            <w:r>
              <w:rPr>
                <w:rFonts w:ascii="Times New Roman" w:hAnsi="Times New Roman"/>
                <w:sz w:val="22"/>
              </w:rPr>
              <w:t>79.79</w:t>
            </w:r>
          </w:p>
        </w:tc>
        <w:tc>
          <w:tcPr>
            <w:tcW w:type="dxa" w:w="3120"/>
          </w:tcPr>
          <w:p>
            <w:r>
              <w:rPr>
                <w:rFonts w:ascii="Times New Roman" w:hAnsi="Times New Roman"/>
                <w:sz w:val="22"/>
              </w:rPr>
              <w:t>20.21</w:t>
            </w:r>
          </w:p>
        </w:tc>
      </w:tr>
      <w:tr>
        <w:tc>
          <w:tcPr>
            <w:tcW w:type="dxa" w:w="3120"/>
          </w:tcPr>
          <w:p>
            <w:r>
              <w:rPr>
                <w:rFonts w:ascii="Times New Roman" w:hAnsi="Times New Roman"/>
                <w:sz w:val="22"/>
              </w:rPr>
              <w:t>30+</w:t>
            </w:r>
          </w:p>
        </w:tc>
        <w:tc>
          <w:tcPr>
            <w:tcW w:type="dxa" w:w="3120"/>
          </w:tcPr>
          <w:p>
            <w:r>
              <w:rPr>
                <w:rFonts w:ascii="Times New Roman" w:hAnsi="Times New Roman"/>
                <w:sz w:val="22"/>
              </w:rPr>
              <w:t>87.95</w:t>
            </w:r>
          </w:p>
        </w:tc>
        <w:tc>
          <w:tcPr>
            <w:tcW w:type="dxa" w:w="3120"/>
          </w:tcPr>
          <w:p>
            <w:r>
              <w:rPr>
                <w:rFonts w:ascii="Times New Roman" w:hAnsi="Times New Roman"/>
                <w:sz w:val="22"/>
              </w:rPr>
              <w:t>12.05</w:t>
            </w:r>
          </w:p>
        </w:tc>
      </w:tr>
    </w:tbl>
    <w:p>
      <w:r>
        <w:rPr>
          <w:i/>
        </w:rPr>
        <w:t>Note. Co-offending analysis operationalizes social offending as co-offending only (Observed removed; non-co-offending treated as Alone). Percentages are survey-weighted.</w:t>
      </w:r>
    </w:p>
    <w:p/>
    <w:p>
      <w:r>
        <w:rPr>
          <w:b/>
        </w:rPr>
        <w:t>Table 3</w:t>
      </w:r>
    </w:p>
    <w:p>
      <w:r>
        <w:rPr>
          <w:i/>
        </w:rPr>
        <w:t>Survey-weighted Rao–Scott adjusted tests of Solo vs Group by age group (Total;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108.075</w:t>
            </w:r>
          </w:p>
        </w:tc>
        <w:tc>
          <w:tcPr>
            <w:tcW w:type="dxa" w:w="1337"/>
          </w:tcPr>
          <w:p>
            <w:r>
              <w:rPr>
                <w:rFonts w:ascii="Times New Roman" w:hAnsi="Times New Roman"/>
                <w:sz w:val="22"/>
              </w:rPr>
              <w:t>4.499887</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341.279</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235.191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171.738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94.705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61.511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61.413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61.138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18.751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0.0004</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17.326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0.0001</w:t>
            </w:r>
          </w:p>
        </w:tc>
        <w:tc>
          <w:tcPr>
            <w:tcW w:type="dxa" w:w="1337"/>
          </w:tcPr>
          <w:p>
            <w:r>
              <w:rPr>
                <w:rFonts w:ascii="Times New Roman" w:hAnsi="Times New Roman"/>
                <w:sz w:val="22"/>
              </w:rPr>
              <w:t>0.0008</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7.365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0.0074</w:t>
            </w:r>
          </w:p>
        </w:tc>
        <w:tc>
          <w:tcPr>
            <w:tcW w:type="dxa" w:w="1337"/>
          </w:tcPr>
          <w:p>
            <w:r>
              <w:rPr>
                <w:rFonts w:ascii="Times New Roman" w:hAnsi="Times New Roman"/>
                <w:sz w:val="22"/>
              </w:rPr>
              <w:t>0.1107</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5.125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0.0249</w:t>
            </w:r>
          </w:p>
        </w:tc>
        <w:tc>
          <w:tcPr>
            <w:tcW w:type="dxa" w:w="1337"/>
          </w:tcPr>
          <w:p>
            <w:r>
              <w:rPr>
                <w:rFonts w:ascii="Times New Roman" w:hAnsi="Times New Roman"/>
                <w:sz w:val="22"/>
              </w:rPr>
              <w:t>0.3741</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3.728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0.0553</w:t>
            </w:r>
          </w:p>
        </w:tc>
        <w:tc>
          <w:tcPr>
            <w:tcW w:type="dxa" w:w="1337"/>
          </w:tcPr>
          <w:p>
            <w:r>
              <w:rPr>
                <w:rFonts w:ascii="Times New Roman" w:hAnsi="Times New Roman"/>
                <w:sz w:val="22"/>
              </w:rPr>
              <w:t>0.8295</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2.947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0.0880</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0.938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0.3342</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0.092</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0.7615</w:t>
            </w:r>
          </w:p>
        </w:tc>
        <w:tc>
          <w:tcPr>
            <w:tcW w:type="dxa" w:w="1337"/>
          </w:tcPr>
          <w:p>
            <w:r>
              <w:rPr>
                <w:rFonts w:ascii="Times New Roman" w:hAnsi="Times New Roman"/>
                <w:sz w:val="22"/>
              </w:rPr>
              <w:t>1.0000</w:t>
            </w:r>
          </w:p>
        </w:tc>
      </w:tr>
    </w:tbl>
    <w:p/>
    <w:p>
      <w:r>
        <w:rPr>
          <w:b/>
        </w:rPr>
        <w:t>Table 4</w:t>
      </w:r>
    </w:p>
    <w:p>
      <w:r>
        <w:rPr>
          <w:i/>
        </w:rPr>
        <w:t>Survey-weighted Rao–Scott adjusted tests of Solo vs Group by age group (Theft;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29.003</w:t>
            </w:r>
          </w:p>
        </w:tc>
        <w:tc>
          <w:tcPr>
            <w:tcW w:type="dxa" w:w="1337"/>
          </w:tcPr>
          <w:p>
            <w:r>
              <w:rPr>
                <w:rFonts w:ascii="Times New Roman" w:hAnsi="Times New Roman"/>
                <w:sz w:val="22"/>
              </w:rPr>
              <w:t>4.594359</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80.865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69.555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39.163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32.691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24.040</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19.218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0.0003</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17.984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0.0006</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7.263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0.0078</w:t>
            </w:r>
          </w:p>
        </w:tc>
        <w:tc>
          <w:tcPr>
            <w:tcW w:type="dxa" w:w="1337"/>
          </w:tcPr>
          <w:p>
            <w:r>
              <w:rPr>
                <w:rFonts w:ascii="Times New Roman" w:hAnsi="Times New Roman"/>
                <w:sz w:val="22"/>
              </w:rPr>
              <w:t>0.1169</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4.694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0.0318</w:t>
            </w:r>
          </w:p>
        </w:tc>
        <w:tc>
          <w:tcPr>
            <w:tcW w:type="dxa" w:w="1337"/>
          </w:tcPr>
          <w:p>
            <w:r>
              <w:rPr>
                <w:rFonts w:ascii="Times New Roman" w:hAnsi="Times New Roman"/>
                <w:sz w:val="22"/>
              </w:rPr>
              <w:t>0.4763</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0.797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0.3733</w:t>
            </w:r>
          </w:p>
        </w:tc>
        <w:tc>
          <w:tcPr>
            <w:tcW w:type="dxa" w:w="1337"/>
          </w:tcPr>
          <w:p>
            <w:r>
              <w:rPr>
                <w:rFonts w:ascii="Times New Roman" w:hAnsi="Times New Roman"/>
                <w:sz w:val="22"/>
              </w:rPr>
              <w:t>1.0000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0.276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0.6002</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0.164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0.6859</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0.147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0.7024</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0.038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0.8464</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0.024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0.8780</w:t>
            </w:r>
          </w:p>
        </w:tc>
        <w:tc>
          <w:tcPr>
            <w:tcW w:type="dxa" w:w="1337"/>
          </w:tcPr>
          <w:p>
            <w:r>
              <w:rPr>
                <w:rFonts w:ascii="Times New Roman" w:hAnsi="Times New Roman"/>
                <w:sz w:val="22"/>
              </w:rPr>
              <w:t>1.0000</w:t>
            </w:r>
          </w:p>
        </w:tc>
      </w:tr>
    </w:tbl>
    <w:p/>
    <w:p>
      <w:r>
        <w:rPr>
          <w:b/>
        </w:rPr>
        <w:t>Table 5</w:t>
      </w:r>
    </w:p>
    <w:p>
      <w:r>
        <w:rPr>
          <w:i/>
        </w:rPr>
        <w:t>Survey-weighted Rao–Scott adjusted tests of Solo vs Group by age group (Violent;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83.878</w:t>
            </w:r>
          </w:p>
        </w:tc>
        <w:tc>
          <w:tcPr>
            <w:tcW w:type="dxa" w:w="1337"/>
          </w:tcPr>
          <w:p>
            <w:r>
              <w:rPr>
                <w:rFonts w:ascii="Times New Roman" w:hAnsi="Times New Roman"/>
                <w:sz w:val="22"/>
              </w:rPr>
              <w:t>4.460482</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297.631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166.685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113.352</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77.174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62.617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43.378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40.393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18.037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0.0006</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15.860</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0.0001</w:t>
            </w:r>
          </w:p>
        </w:tc>
        <w:tc>
          <w:tcPr>
            <w:tcW w:type="dxa" w:w="1337"/>
          </w:tcPr>
          <w:p>
            <w:r>
              <w:rPr>
                <w:rFonts w:ascii="Times New Roman" w:hAnsi="Times New Roman"/>
                <w:sz w:val="22"/>
              </w:rPr>
              <w:t>0.0016</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4.314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0.0394</w:t>
            </w:r>
          </w:p>
        </w:tc>
        <w:tc>
          <w:tcPr>
            <w:tcW w:type="dxa" w:w="1337"/>
          </w:tcPr>
          <w:p>
            <w:r>
              <w:rPr>
                <w:rFonts w:ascii="Times New Roman" w:hAnsi="Times New Roman"/>
                <w:sz w:val="22"/>
              </w:rPr>
              <w:t>0.5912</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3.924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0.0493</w:t>
            </w:r>
          </w:p>
        </w:tc>
        <w:tc>
          <w:tcPr>
            <w:tcW w:type="dxa" w:w="1337"/>
          </w:tcPr>
          <w:p>
            <w:r>
              <w:rPr>
                <w:rFonts w:ascii="Times New Roman" w:hAnsi="Times New Roman"/>
                <w:sz w:val="22"/>
              </w:rPr>
              <w:t>0.7397</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3.498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0.0633</w:t>
            </w:r>
          </w:p>
        </w:tc>
        <w:tc>
          <w:tcPr>
            <w:tcW w:type="dxa" w:w="1337"/>
          </w:tcPr>
          <w:p>
            <w:r>
              <w:rPr>
                <w:rFonts w:ascii="Times New Roman" w:hAnsi="Times New Roman"/>
                <w:sz w:val="22"/>
              </w:rPr>
              <w:t>0.9493</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2.919</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0.0895</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0.486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0.4866</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0.246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0.6204</w:t>
            </w:r>
          </w:p>
        </w:tc>
        <w:tc>
          <w:tcPr>
            <w:tcW w:type="dxa" w:w="1337"/>
          </w:tcPr>
          <w:p>
            <w:r>
              <w:rPr>
                <w:rFonts w:ascii="Times New Roman" w:hAnsi="Times New Roman"/>
                <w:sz w:val="22"/>
              </w:rPr>
              <w:t>1.0000</w:t>
            </w:r>
          </w:p>
        </w:tc>
      </w:tr>
    </w:tbl>
    <w:p/>
    <w:p>
      <w:r>
        <w:rPr>
          <w:b/>
        </w:rPr>
        <w:t>Table 6</w:t>
      </w:r>
    </w:p>
    <w:p>
      <w:r>
        <w:rPr>
          <w:i/>
        </w:rPr>
        <w:t>Survey-weighted Rao–Scott adjusted omnibus test of Alone vs Group by age group (Co-offending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F</w:t>
            </w:r>
          </w:p>
        </w:tc>
        <w:tc>
          <w:tcPr>
            <w:tcW w:type="dxa" w:w="2340"/>
          </w:tcPr>
          <w:p>
            <w:r>
              <w:rPr>
                <w:rFonts w:ascii="Times New Roman" w:hAnsi="Times New Roman"/>
                <w:sz w:val="22"/>
              </w:rPr>
              <w:t>df1</w:t>
            </w:r>
          </w:p>
        </w:tc>
        <w:tc>
          <w:tcPr>
            <w:tcW w:type="dxa" w:w="2340"/>
          </w:tcPr>
          <w:p>
            <w:r>
              <w:rPr>
                <w:rFonts w:ascii="Times New Roman" w:hAnsi="Times New Roman"/>
                <w:sz w:val="22"/>
              </w:rPr>
              <w:t>df2</w:t>
            </w:r>
          </w:p>
        </w:tc>
        <w:tc>
          <w:tcPr>
            <w:tcW w:type="dxa" w:w="2340"/>
          </w:tcPr>
          <w:p>
            <w:r>
              <w:rPr>
                <w:rFonts w:ascii="Times New Roman" w:hAnsi="Times New Roman"/>
                <w:sz w:val="22"/>
              </w:rPr>
              <w:t>p</w:t>
            </w:r>
          </w:p>
        </w:tc>
      </w:tr>
      <w:tr>
        <w:tc>
          <w:tcPr>
            <w:tcW w:type="dxa" w:w="2340"/>
          </w:tcPr>
          <w:p>
            <w:r>
              <w:rPr>
                <w:rFonts w:ascii="Times New Roman" w:hAnsi="Times New Roman"/>
                <w:sz w:val="22"/>
              </w:rPr>
              <w:t>99.10459</w:t>
            </w:r>
          </w:p>
        </w:tc>
        <w:tc>
          <w:tcPr>
            <w:tcW w:type="dxa" w:w="2340"/>
          </w:tcPr>
          <w:p>
            <w:r>
              <w:rPr>
                <w:rFonts w:ascii="Times New Roman" w:hAnsi="Times New Roman"/>
                <w:sz w:val="22"/>
              </w:rPr>
              <w:t>4.473578</w:t>
            </w:r>
          </w:p>
        </w:tc>
        <w:tc>
          <w:tcPr>
            <w:tcW w:type="dxa" w:w="2340"/>
          </w:tcPr>
          <w:p>
            <w:r>
              <w:rPr>
                <w:rFonts w:ascii="Times New Roman" w:hAnsi="Times New Roman"/>
                <w:sz w:val="22"/>
              </w:rPr>
              <w:t>711.2989</w:t>
            </w:r>
          </w:p>
        </w:tc>
        <w:tc>
          <w:tcPr>
            <w:tcW w:type="dxa" w:w="2340"/>
          </w:tcPr>
          <w:p>
            <w:r>
              <w:rPr>
                <w:rFonts w:ascii="Times New Roman" w:hAnsi="Times New Roman"/>
                <w:sz w:val="22"/>
              </w:rPr>
              <w:t>0.0000000000000000000000000000000000000000000000000000000000000000000000005833446</w:t>
            </w:r>
          </w:p>
        </w:tc>
      </w:tr>
    </w:tbl>
    <w:p/>
    <w:p>
      <w:r>
        <w:rPr>
          <w:b/>
        </w:rPr>
        <w:t>Table 7</w:t>
      </w:r>
    </w:p>
    <w:p>
      <w:r>
        <w:rPr>
          <w:i/>
        </w:rPr>
        <w:t>Survey-weighted logistic regression predicting Solo offending (Total;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0.75</w:t>
            </w:r>
          </w:p>
        </w:tc>
        <w:tc>
          <w:tcPr>
            <w:tcW w:type="dxa" w:w="1170"/>
          </w:tcPr>
          <w:p>
            <w:r>
              <w:rPr>
                <w:rFonts w:ascii="Times New Roman" w:hAnsi="Times New Roman"/>
                <w:sz w:val="22"/>
              </w:rPr>
              <w:t>0.08</w:t>
            </w:r>
          </w:p>
        </w:tc>
        <w:tc>
          <w:tcPr>
            <w:tcW w:type="dxa" w:w="1170"/>
          </w:tcPr>
          <w:p>
            <w:r>
              <w:rPr>
                <w:rFonts w:ascii="Times New Roman" w:hAnsi="Times New Roman"/>
                <w:sz w:val="22"/>
              </w:rPr>
              <w:t>-3.69</w:t>
            </w:r>
          </w:p>
        </w:tc>
        <w:tc>
          <w:tcPr>
            <w:tcW w:type="dxa" w:w="1170"/>
          </w:tcPr>
          <w:p>
            <w:r>
              <w:rPr>
                <w:rFonts w:ascii="Times New Roman" w:hAnsi="Times New Roman"/>
                <w:sz w:val="22"/>
              </w:rPr>
              <w:t>0.00</w:t>
            </w:r>
          </w:p>
        </w:tc>
        <w:tc>
          <w:tcPr>
            <w:tcW w:type="dxa" w:w="1170"/>
          </w:tcPr>
          <w:p>
            <w:r>
              <w:rPr>
                <w:rFonts w:ascii="Times New Roman" w:hAnsi="Times New Roman"/>
                <w:sz w:val="22"/>
              </w:rPr>
              <w:t>0.64</w:t>
            </w:r>
          </w:p>
        </w:tc>
        <w:tc>
          <w:tcPr>
            <w:tcW w:type="dxa" w:w="1170"/>
          </w:tcPr>
          <w:p>
            <w:r>
              <w:rPr>
                <w:rFonts w:ascii="Times New Roman" w:hAnsi="Times New Roman"/>
                <w:sz w:val="22"/>
              </w:rPr>
              <w:t>0.87</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1.22</w:t>
            </w:r>
          </w:p>
        </w:tc>
        <w:tc>
          <w:tcPr>
            <w:tcW w:type="dxa" w:w="1170"/>
          </w:tcPr>
          <w:p>
            <w:r>
              <w:rPr>
                <w:rFonts w:ascii="Times New Roman" w:hAnsi="Times New Roman"/>
                <w:sz w:val="22"/>
              </w:rPr>
              <w:t>0.15</w:t>
            </w:r>
          </w:p>
        </w:tc>
        <w:tc>
          <w:tcPr>
            <w:tcW w:type="dxa" w:w="1170"/>
          </w:tcPr>
          <w:p>
            <w:r>
              <w:rPr>
                <w:rFonts w:ascii="Times New Roman" w:hAnsi="Times New Roman"/>
                <w:sz w:val="22"/>
              </w:rPr>
              <w:t>1.32</w:t>
            </w:r>
          </w:p>
        </w:tc>
        <w:tc>
          <w:tcPr>
            <w:tcW w:type="dxa" w:w="1170"/>
          </w:tcPr>
          <w:p>
            <w:r>
              <w:rPr>
                <w:rFonts w:ascii="Times New Roman" w:hAnsi="Times New Roman"/>
                <w:sz w:val="22"/>
              </w:rPr>
              <w:t>0.19</w:t>
            </w:r>
          </w:p>
        </w:tc>
        <w:tc>
          <w:tcPr>
            <w:tcW w:type="dxa" w:w="1170"/>
          </w:tcPr>
          <w:p>
            <w:r>
              <w:rPr>
                <w:rFonts w:ascii="Times New Roman" w:hAnsi="Times New Roman"/>
                <w:sz w:val="22"/>
              </w:rPr>
              <w:t>0.91</w:t>
            </w:r>
          </w:p>
        </w:tc>
        <w:tc>
          <w:tcPr>
            <w:tcW w:type="dxa" w:w="1170"/>
          </w:tcPr>
          <w:p>
            <w:r>
              <w:rPr>
                <w:rFonts w:ascii="Times New Roman" w:hAnsi="Times New Roman"/>
                <w:sz w:val="22"/>
              </w:rPr>
              <w:t>1.63</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1.01</w:t>
            </w:r>
          </w:p>
        </w:tc>
        <w:tc>
          <w:tcPr>
            <w:tcW w:type="dxa" w:w="1170"/>
          </w:tcPr>
          <w:p>
            <w:r>
              <w:rPr>
                <w:rFonts w:ascii="Times New Roman" w:hAnsi="Times New Roman"/>
                <w:sz w:val="22"/>
              </w:rPr>
              <w:t>0.12</w:t>
            </w:r>
          </w:p>
        </w:tc>
        <w:tc>
          <w:tcPr>
            <w:tcW w:type="dxa" w:w="1170"/>
          </w:tcPr>
          <w:p>
            <w:r>
              <w:rPr>
                <w:rFonts w:ascii="Times New Roman" w:hAnsi="Times New Roman"/>
                <w:sz w:val="22"/>
              </w:rPr>
              <w:t>0.07</w:t>
            </w:r>
          </w:p>
        </w:tc>
        <w:tc>
          <w:tcPr>
            <w:tcW w:type="dxa" w:w="1170"/>
          </w:tcPr>
          <w:p>
            <w:r>
              <w:rPr>
                <w:rFonts w:ascii="Times New Roman" w:hAnsi="Times New Roman"/>
                <w:sz w:val="22"/>
              </w:rPr>
              <w:t>0.95</w:t>
            </w:r>
          </w:p>
        </w:tc>
        <w:tc>
          <w:tcPr>
            <w:tcW w:type="dxa" w:w="1170"/>
          </w:tcPr>
          <w:p>
            <w:r>
              <w:rPr>
                <w:rFonts w:ascii="Times New Roman" w:hAnsi="Times New Roman"/>
                <w:sz w:val="22"/>
              </w:rPr>
              <w:t>0.79</w:t>
            </w:r>
          </w:p>
        </w:tc>
        <w:tc>
          <w:tcPr>
            <w:tcW w:type="dxa" w:w="1170"/>
          </w:tcPr>
          <w:p>
            <w:r>
              <w:rPr>
                <w:rFonts w:ascii="Times New Roman" w:hAnsi="Times New Roman"/>
                <w:sz w:val="22"/>
              </w:rPr>
              <w:t>1.28</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1.16</w:t>
            </w:r>
          </w:p>
        </w:tc>
        <w:tc>
          <w:tcPr>
            <w:tcW w:type="dxa" w:w="1170"/>
          </w:tcPr>
          <w:p>
            <w:r>
              <w:rPr>
                <w:rFonts w:ascii="Times New Roman" w:hAnsi="Times New Roman"/>
                <w:sz w:val="22"/>
              </w:rPr>
              <w:t>0.08</w:t>
            </w:r>
          </w:p>
        </w:tc>
        <w:tc>
          <w:tcPr>
            <w:tcW w:type="dxa" w:w="1170"/>
          </w:tcPr>
          <w:p>
            <w:r>
              <w:rPr>
                <w:rFonts w:ascii="Times New Roman" w:hAnsi="Times New Roman"/>
                <w:sz w:val="22"/>
              </w:rPr>
              <w:t>1.79</w:t>
            </w:r>
          </w:p>
        </w:tc>
        <w:tc>
          <w:tcPr>
            <w:tcW w:type="dxa" w:w="1170"/>
          </w:tcPr>
          <w:p>
            <w:r>
              <w:rPr>
                <w:rFonts w:ascii="Times New Roman" w:hAnsi="Times New Roman"/>
                <w:sz w:val="22"/>
              </w:rPr>
              <w:t>0.08</w:t>
            </w:r>
          </w:p>
        </w:tc>
        <w:tc>
          <w:tcPr>
            <w:tcW w:type="dxa" w:w="1170"/>
          </w:tcPr>
          <w:p>
            <w:r>
              <w:rPr>
                <w:rFonts w:ascii="Times New Roman" w:hAnsi="Times New Roman"/>
                <w:sz w:val="22"/>
              </w:rPr>
              <w:t>0.98</w:t>
            </w:r>
          </w:p>
        </w:tc>
        <w:tc>
          <w:tcPr>
            <w:tcW w:type="dxa" w:w="1170"/>
          </w:tcPr>
          <w:p>
            <w:r>
              <w:rPr>
                <w:rFonts w:ascii="Times New Roman" w:hAnsi="Times New Roman"/>
                <w:sz w:val="22"/>
              </w:rPr>
              <w:t>1.37</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1.80</w:t>
            </w:r>
          </w:p>
        </w:tc>
        <w:tc>
          <w:tcPr>
            <w:tcW w:type="dxa" w:w="1170"/>
          </w:tcPr>
          <w:p>
            <w:r>
              <w:rPr>
                <w:rFonts w:ascii="Times New Roman" w:hAnsi="Times New Roman"/>
                <w:sz w:val="22"/>
              </w:rPr>
              <w:t>0.07</w:t>
            </w:r>
          </w:p>
        </w:tc>
        <w:tc>
          <w:tcPr>
            <w:tcW w:type="dxa" w:w="1170"/>
          </w:tcPr>
          <w:p>
            <w:r>
              <w:rPr>
                <w:rFonts w:ascii="Times New Roman" w:hAnsi="Times New Roman"/>
                <w:sz w:val="22"/>
              </w:rPr>
              <w:t>7.95</w:t>
            </w:r>
          </w:p>
        </w:tc>
        <w:tc>
          <w:tcPr>
            <w:tcW w:type="dxa" w:w="1170"/>
          </w:tcPr>
          <w:p>
            <w:r>
              <w:rPr>
                <w:rFonts w:ascii="Times New Roman" w:hAnsi="Times New Roman"/>
                <w:sz w:val="22"/>
              </w:rPr>
              <w:t>0.00</w:t>
            </w:r>
          </w:p>
        </w:tc>
        <w:tc>
          <w:tcPr>
            <w:tcW w:type="dxa" w:w="1170"/>
          </w:tcPr>
          <w:p>
            <w:r>
              <w:rPr>
                <w:rFonts w:ascii="Times New Roman" w:hAnsi="Times New Roman"/>
                <w:sz w:val="22"/>
              </w:rPr>
              <w:t>1.56</w:t>
            </w:r>
          </w:p>
        </w:tc>
        <w:tc>
          <w:tcPr>
            <w:tcW w:type="dxa" w:w="1170"/>
          </w:tcPr>
          <w:p>
            <w:r>
              <w:rPr>
                <w:rFonts w:ascii="Times New Roman" w:hAnsi="Times New Roman"/>
                <w:sz w:val="22"/>
              </w:rPr>
              <w:t>2.08</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2.46</w:t>
            </w:r>
          </w:p>
        </w:tc>
        <w:tc>
          <w:tcPr>
            <w:tcW w:type="dxa" w:w="1170"/>
          </w:tcPr>
          <w:p>
            <w:r>
              <w:rPr>
                <w:rFonts w:ascii="Times New Roman" w:hAnsi="Times New Roman"/>
                <w:sz w:val="22"/>
              </w:rPr>
              <w:t>0.08</w:t>
            </w:r>
          </w:p>
        </w:tc>
        <w:tc>
          <w:tcPr>
            <w:tcW w:type="dxa" w:w="1170"/>
          </w:tcPr>
          <w:p>
            <w:r>
              <w:rPr>
                <w:rFonts w:ascii="Times New Roman" w:hAnsi="Times New Roman"/>
                <w:sz w:val="22"/>
              </w:rPr>
              <w:t>11.55</w:t>
            </w:r>
          </w:p>
        </w:tc>
        <w:tc>
          <w:tcPr>
            <w:tcW w:type="dxa" w:w="1170"/>
          </w:tcPr>
          <w:p>
            <w:r>
              <w:rPr>
                <w:rFonts w:ascii="Times New Roman" w:hAnsi="Times New Roman"/>
                <w:sz w:val="22"/>
              </w:rPr>
              <w:t>0.00</w:t>
            </w:r>
          </w:p>
        </w:tc>
        <w:tc>
          <w:tcPr>
            <w:tcW w:type="dxa" w:w="1170"/>
          </w:tcPr>
          <w:p>
            <w:r>
              <w:rPr>
                <w:rFonts w:ascii="Times New Roman" w:hAnsi="Times New Roman"/>
                <w:sz w:val="22"/>
              </w:rPr>
              <w:t>2.11</w:t>
            </w:r>
          </w:p>
        </w:tc>
        <w:tc>
          <w:tcPr>
            <w:tcW w:type="dxa" w:w="1170"/>
          </w:tcPr>
          <w:p>
            <w:r>
              <w:rPr>
                <w:rFonts w:ascii="Times New Roman" w:hAnsi="Times New Roman"/>
                <w:sz w:val="22"/>
              </w:rPr>
              <w:t>2.87</w:t>
            </w:r>
          </w:p>
        </w:tc>
        <w:tc>
          <w:tcPr>
            <w:tcW w:type="dxa" w:w="1170"/>
          </w:tcPr>
          <w:p/>
        </w:tc>
      </w:tr>
    </w:tbl>
    <w:p/>
    <w:p>
      <w:r>
        <w:rPr>
          <w:b/>
        </w:rPr>
        <w:t>Table 8</w:t>
      </w:r>
    </w:p>
    <w:p>
      <w:r>
        <w:rPr>
          <w:i/>
        </w:rPr>
        <w:t>Survey-weighted logistic regression predicting Solo offending (Total;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0.87</w:t>
            </w:r>
          </w:p>
        </w:tc>
        <w:tc>
          <w:tcPr>
            <w:tcW w:type="dxa" w:w="1170"/>
          </w:tcPr>
          <w:p>
            <w:r>
              <w:rPr>
                <w:rFonts w:ascii="Times New Roman" w:hAnsi="Times New Roman"/>
                <w:sz w:val="22"/>
              </w:rPr>
              <w:t>0.05</w:t>
            </w:r>
          </w:p>
        </w:tc>
        <w:tc>
          <w:tcPr>
            <w:tcW w:type="dxa" w:w="1170"/>
          </w:tcPr>
          <w:p>
            <w:r>
              <w:rPr>
                <w:rFonts w:ascii="Times New Roman" w:hAnsi="Times New Roman"/>
                <w:sz w:val="22"/>
              </w:rPr>
              <w:t>-2.61</w:t>
            </w:r>
          </w:p>
        </w:tc>
        <w:tc>
          <w:tcPr>
            <w:tcW w:type="dxa" w:w="1170"/>
          </w:tcPr>
          <w:p>
            <w:r>
              <w:rPr>
                <w:rFonts w:ascii="Times New Roman" w:hAnsi="Times New Roman"/>
                <w:sz w:val="22"/>
              </w:rPr>
              <w:t>0.01</w:t>
            </w:r>
          </w:p>
        </w:tc>
        <w:tc>
          <w:tcPr>
            <w:tcW w:type="dxa" w:w="1170"/>
          </w:tcPr>
          <w:p>
            <w:r>
              <w:rPr>
                <w:rFonts w:ascii="Times New Roman" w:hAnsi="Times New Roman"/>
                <w:sz w:val="22"/>
              </w:rPr>
              <w:t>0.78</w:t>
            </w:r>
          </w:p>
        </w:tc>
        <w:tc>
          <w:tcPr>
            <w:tcW w:type="dxa" w:w="1170"/>
          </w:tcPr>
          <w:p>
            <w:r>
              <w:rPr>
                <w:rFonts w:ascii="Times New Roman" w:hAnsi="Times New Roman"/>
                <w:sz w:val="22"/>
              </w:rPr>
              <w:t>0.97</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1.05</w:t>
            </w:r>
          </w:p>
        </w:tc>
        <w:tc>
          <w:tcPr>
            <w:tcW w:type="dxa" w:w="1170"/>
          </w:tcPr>
          <w:p>
            <w:r>
              <w:rPr>
                <w:rFonts w:ascii="Times New Roman" w:hAnsi="Times New Roman"/>
                <w:sz w:val="22"/>
              </w:rPr>
              <w:t>0.15</w:t>
            </w:r>
          </w:p>
        </w:tc>
        <w:tc>
          <w:tcPr>
            <w:tcW w:type="dxa" w:w="1170"/>
          </w:tcPr>
          <w:p>
            <w:r>
              <w:rPr>
                <w:rFonts w:ascii="Times New Roman" w:hAnsi="Times New Roman"/>
                <w:sz w:val="22"/>
              </w:rPr>
              <w:t>0.30</w:t>
            </w:r>
          </w:p>
        </w:tc>
        <w:tc>
          <w:tcPr>
            <w:tcW w:type="dxa" w:w="1170"/>
          </w:tcPr>
          <w:p>
            <w:r>
              <w:rPr>
                <w:rFonts w:ascii="Times New Roman" w:hAnsi="Times New Roman"/>
                <w:sz w:val="22"/>
              </w:rPr>
              <w:t>0.77</w:t>
            </w:r>
          </w:p>
        </w:tc>
        <w:tc>
          <w:tcPr>
            <w:tcW w:type="dxa" w:w="1170"/>
          </w:tcPr>
          <w:p>
            <w:r>
              <w:rPr>
                <w:rFonts w:ascii="Times New Roman" w:hAnsi="Times New Roman"/>
                <w:sz w:val="22"/>
              </w:rPr>
              <w:t>0.78</w:t>
            </w:r>
          </w:p>
        </w:tc>
        <w:tc>
          <w:tcPr>
            <w:tcW w:type="dxa" w:w="1170"/>
          </w:tcPr>
          <w:p>
            <w:r>
              <w:rPr>
                <w:rFonts w:ascii="Times New Roman" w:hAnsi="Times New Roman"/>
                <w:sz w:val="22"/>
              </w:rPr>
              <w:t>1.40</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0.87</w:t>
            </w:r>
          </w:p>
        </w:tc>
        <w:tc>
          <w:tcPr>
            <w:tcW w:type="dxa" w:w="1170"/>
          </w:tcPr>
          <w:p>
            <w:r>
              <w:rPr>
                <w:rFonts w:ascii="Times New Roman" w:hAnsi="Times New Roman"/>
                <w:sz w:val="22"/>
              </w:rPr>
              <w:t>0.12</w:t>
            </w:r>
          </w:p>
        </w:tc>
        <w:tc>
          <w:tcPr>
            <w:tcW w:type="dxa" w:w="1170"/>
          </w:tcPr>
          <w:p>
            <w:r>
              <w:rPr>
                <w:rFonts w:ascii="Times New Roman" w:hAnsi="Times New Roman"/>
                <w:sz w:val="22"/>
              </w:rPr>
              <w:t>-1.19</w:t>
            </w:r>
          </w:p>
        </w:tc>
        <w:tc>
          <w:tcPr>
            <w:tcW w:type="dxa" w:w="1170"/>
          </w:tcPr>
          <w:p>
            <w:r>
              <w:rPr>
                <w:rFonts w:ascii="Times New Roman" w:hAnsi="Times New Roman"/>
                <w:sz w:val="22"/>
              </w:rPr>
              <w:t>0.23</w:t>
            </w:r>
          </w:p>
        </w:tc>
        <w:tc>
          <w:tcPr>
            <w:tcW w:type="dxa" w:w="1170"/>
          </w:tcPr>
          <w:p>
            <w:r>
              <w:rPr>
                <w:rFonts w:ascii="Times New Roman" w:hAnsi="Times New Roman"/>
                <w:sz w:val="22"/>
              </w:rPr>
              <w:t>0.69</w:t>
            </w:r>
          </w:p>
        </w:tc>
        <w:tc>
          <w:tcPr>
            <w:tcW w:type="dxa" w:w="1170"/>
          </w:tcPr>
          <w:p>
            <w:r>
              <w:rPr>
                <w:rFonts w:ascii="Times New Roman" w:hAnsi="Times New Roman"/>
                <w:sz w:val="22"/>
              </w:rPr>
              <w:t>1.10</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0.86</w:t>
            </w:r>
          </w:p>
        </w:tc>
        <w:tc>
          <w:tcPr>
            <w:tcW w:type="dxa" w:w="1170"/>
          </w:tcPr>
          <w:p>
            <w:r>
              <w:rPr>
                <w:rFonts w:ascii="Times New Roman" w:hAnsi="Times New Roman"/>
                <w:sz w:val="22"/>
              </w:rPr>
              <w:t>0.08</w:t>
            </w:r>
          </w:p>
        </w:tc>
        <w:tc>
          <w:tcPr>
            <w:tcW w:type="dxa" w:w="1170"/>
          </w:tcPr>
          <w:p>
            <w:r>
              <w:rPr>
                <w:rFonts w:ascii="Times New Roman" w:hAnsi="Times New Roman"/>
                <w:sz w:val="22"/>
              </w:rPr>
              <w:t>-1.79</w:t>
            </w:r>
          </w:p>
        </w:tc>
        <w:tc>
          <w:tcPr>
            <w:tcW w:type="dxa" w:w="1170"/>
          </w:tcPr>
          <w:p>
            <w:r>
              <w:rPr>
                <w:rFonts w:ascii="Times New Roman" w:hAnsi="Times New Roman"/>
                <w:sz w:val="22"/>
              </w:rPr>
              <w:t>0.08</w:t>
            </w:r>
          </w:p>
        </w:tc>
        <w:tc>
          <w:tcPr>
            <w:tcW w:type="dxa" w:w="1170"/>
          </w:tcPr>
          <w:p>
            <w:r>
              <w:rPr>
                <w:rFonts w:ascii="Times New Roman" w:hAnsi="Times New Roman"/>
                <w:sz w:val="22"/>
              </w:rPr>
              <w:t>0.73</w:t>
            </w:r>
          </w:p>
        </w:tc>
        <w:tc>
          <w:tcPr>
            <w:tcW w:type="dxa" w:w="1170"/>
          </w:tcPr>
          <w:p>
            <w:r>
              <w:rPr>
                <w:rFonts w:ascii="Times New Roman" w:hAnsi="Times New Roman"/>
                <w:sz w:val="22"/>
              </w:rPr>
              <w:t>1.02</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1.55</w:t>
            </w:r>
          </w:p>
        </w:tc>
        <w:tc>
          <w:tcPr>
            <w:tcW w:type="dxa" w:w="1170"/>
          </w:tcPr>
          <w:p>
            <w:r>
              <w:rPr>
                <w:rFonts w:ascii="Times New Roman" w:hAnsi="Times New Roman"/>
                <w:sz w:val="22"/>
              </w:rPr>
              <w:t>0.06</w:t>
            </w:r>
          </w:p>
        </w:tc>
        <w:tc>
          <w:tcPr>
            <w:tcW w:type="dxa" w:w="1170"/>
          </w:tcPr>
          <w:p>
            <w:r>
              <w:rPr>
                <w:rFonts w:ascii="Times New Roman" w:hAnsi="Times New Roman"/>
                <w:sz w:val="22"/>
              </w:rPr>
              <w:t>7.41</w:t>
            </w:r>
          </w:p>
        </w:tc>
        <w:tc>
          <w:tcPr>
            <w:tcW w:type="dxa" w:w="1170"/>
          </w:tcPr>
          <w:p>
            <w:r>
              <w:rPr>
                <w:rFonts w:ascii="Times New Roman" w:hAnsi="Times New Roman"/>
                <w:sz w:val="22"/>
              </w:rPr>
              <w:t>0.00</w:t>
            </w:r>
          </w:p>
        </w:tc>
        <w:tc>
          <w:tcPr>
            <w:tcW w:type="dxa" w:w="1170"/>
          </w:tcPr>
          <w:p>
            <w:r>
              <w:rPr>
                <w:rFonts w:ascii="Times New Roman" w:hAnsi="Times New Roman"/>
                <w:sz w:val="22"/>
              </w:rPr>
              <w:t>1.38</w:t>
            </w:r>
          </w:p>
        </w:tc>
        <w:tc>
          <w:tcPr>
            <w:tcW w:type="dxa" w:w="1170"/>
          </w:tcPr>
          <w:p>
            <w:r>
              <w:rPr>
                <w:rFonts w:ascii="Times New Roman" w:hAnsi="Times New Roman"/>
                <w:sz w:val="22"/>
              </w:rPr>
              <w:t>1.74</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2.12</w:t>
            </w:r>
          </w:p>
        </w:tc>
        <w:tc>
          <w:tcPr>
            <w:tcW w:type="dxa" w:w="1170"/>
          </w:tcPr>
          <w:p>
            <w:r>
              <w:rPr>
                <w:rFonts w:ascii="Times New Roman" w:hAnsi="Times New Roman"/>
                <w:sz w:val="22"/>
              </w:rPr>
              <w:t>0.06</w:t>
            </w:r>
          </w:p>
        </w:tc>
        <w:tc>
          <w:tcPr>
            <w:tcW w:type="dxa" w:w="1170"/>
          </w:tcPr>
          <w:p>
            <w:r>
              <w:rPr>
                <w:rFonts w:ascii="Times New Roman" w:hAnsi="Times New Roman"/>
                <w:sz w:val="22"/>
              </w:rPr>
              <w:t>11.78</w:t>
            </w:r>
          </w:p>
        </w:tc>
        <w:tc>
          <w:tcPr>
            <w:tcW w:type="dxa" w:w="1170"/>
          </w:tcPr>
          <w:p>
            <w:r>
              <w:rPr>
                <w:rFonts w:ascii="Times New Roman" w:hAnsi="Times New Roman"/>
                <w:sz w:val="22"/>
              </w:rPr>
              <w:t>0.00</w:t>
            </w:r>
          </w:p>
        </w:tc>
        <w:tc>
          <w:tcPr>
            <w:tcW w:type="dxa" w:w="1170"/>
          </w:tcPr>
          <w:p>
            <w:r>
              <w:rPr>
                <w:rFonts w:ascii="Times New Roman" w:hAnsi="Times New Roman"/>
                <w:sz w:val="22"/>
              </w:rPr>
              <w:t>1.87</w:t>
            </w:r>
          </w:p>
        </w:tc>
        <w:tc>
          <w:tcPr>
            <w:tcW w:type="dxa" w:w="1170"/>
          </w:tcPr>
          <w:p>
            <w:r>
              <w:rPr>
                <w:rFonts w:ascii="Times New Roman" w:hAnsi="Times New Roman"/>
                <w:sz w:val="22"/>
              </w:rPr>
              <w:t>2.40</w:t>
            </w:r>
          </w:p>
        </w:tc>
        <w:tc>
          <w:tcPr>
            <w:tcW w:type="dxa" w:w="1170"/>
          </w:tcPr>
          <w:p/>
        </w:tc>
      </w:tr>
    </w:tbl>
    <w:p/>
    <w:p>
      <w:r>
        <w:rPr>
          <w:b/>
        </w:rPr>
        <w:t>Table 9</w:t>
      </w:r>
    </w:p>
    <w:p>
      <w:r>
        <w:rPr>
          <w:i/>
        </w:rPr>
        <w:t>Survey-weighted logistic regression predicting Solo offending (Theft;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0.81</w:t>
            </w:r>
          </w:p>
        </w:tc>
        <w:tc>
          <w:tcPr>
            <w:tcW w:type="dxa" w:w="1170"/>
          </w:tcPr>
          <w:p>
            <w:r>
              <w:rPr>
                <w:rFonts w:ascii="Times New Roman" w:hAnsi="Times New Roman"/>
                <w:sz w:val="22"/>
              </w:rPr>
              <w:t>0.10</w:t>
            </w:r>
          </w:p>
        </w:tc>
        <w:tc>
          <w:tcPr>
            <w:tcW w:type="dxa" w:w="1170"/>
          </w:tcPr>
          <w:p>
            <w:r>
              <w:rPr>
                <w:rFonts w:ascii="Times New Roman" w:hAnsi="Times New Roman"/>
                <w:sz w:val="22"/>
              </w:rPr>
              <w:t>-2.07</w:t>
            </w:r>
          </w:p>
        </w:tc>
        <w:tc>
          <w:tcPr>
            <w:tcW w:type="dxa" w:w="1170"/>
          </w:tcPr>
          <w:p>
            <w:r>
              <w:rPr>
                <w:rFonts w:ascii="Times New Roman" w:hAnsi="Times New Roman"/>
                <w:sz w:val="22"/>
              </w:rPr>
              <w:t>0.04</w:t>
            </w:r>
          </w:p>
        </w:tc>
        <w:tc>
          <w:tcPr>
            <w:tcW w:type="dxa" w:w="1170"/>
          </w:tcPr>
          <w:p>
            <w:r>
              <w:rPr>
                <w:rFonts w:ascii="Times New Roman" w:hAnsi="Times New Roman"/>
                <w:sz w:val="22"/>
              </w:rPr>
              <w:t>0.67</w:t>
            </w:r>
          </w:p>
        </w:tc>
        <w:tc>
          <w:tcPr>
            <w:tcW w:type="dxa" w:w="1170"/>
          </w:tcPr>
          <w:p>
            <w:r>
              <w:rPr>
                <w:rFonts w:ascii="Times New Roman" w:hAnsi="Times New Roman"/>
                <w:sz w:val="22"/>
              </w:rPr>
              <w:t>0.99</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1.15</w:t>
            </w:r>
          </w:p>
        </w:tc>
        <w:tc>
          <w:tcPr>
            <w:tcW w:type="dxa" w:w="1170"/>
          </w:tcPr>
          <w:p>
            <w:r>
              <w:rPr>
                <w:rFonts w:ascii="Times New Roman" w:hAnsi="Times New Roman"/>
                <w:sz w:val="22"/>
              </w:rPr>
              <w:t>0.20</w:t>
            </w:r>
          </w:p>
        </w:tc>
        <w:tc>
          <w:tcPr>
            <w:tcW w:type="dxa" w:w="1170"/>
          </w:tcPr>
          <w:p>
            <w:r>
              <w:rPr>
                <w:rFonts w:ascii="Times New Roman" w:hAnsi="Times New Roman"/>
                <w:sz w:val="22"/>
              </w:rPr>
              <w:t>0.67</w:t>
            </w:r>
          </w:p>
        </w:tc>
        <w:tc>
          <w:tcPr>
            <w:tcW w:type="dxa" w:w="1170"/>
          </w:tcPr>
          <w:p>
            <w:r>
              <w:rPr>
                <w:rFonts w:ascii="Times New Roman" w:hAnsi="Times New Roman"/>
                <w:sz w:val="22"/>
              </w:rPr>
              <w:t>0.50</w:t>
            </w:r>
          </w:p>
        </w:tc>
        <w:tc>
          <w:tcPr>
            <w:tcW w:type="dxa" w:w="1170"/>
          </w:tcPr>
          <w:p>
            <w:r>
              <w:rPr>
                <w:rFonts w:ascii="Times New Roman" w:hAnsi="Times New Roman"/>
                <w:sz w:val="22"/>
              </w:rPr>
              <w:t>0.77</w:t>
            </w:r>
          </w:p>
        </w:tc>
        <w:tc>
          <w:tcPr>
            <w:tcW w:type="dxa" w:w="1170"/>
          </w:tcPr>
          <w:p>
            <w:r>
              <w:rPr>
                <w:rFonts w:ascii="Times New Roman" w:hAnsi="Times New Roman"/>
                <w:sz w:val="22"/>
              </w:rPr>
              <w:t>1.71</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0.90</w:t>
            </w:r>
          </w:p>
        </w:tc>
        <w:tc>
          <w:tcPr>
            <w:tcW w:type="dxa" w:w="1170"/>
          </w:tcPr>
          <w:p>
            <w:r>
              <w:rPr>
                <w:rFonts w:ascii="Times New Roman" w:hAnsi="Times New Roman"/>
                <w:sz w:val="22"/>
              </w:rPr>
              <w:t>0.15</w:t>
            </w:r>
          </w:p>
        </w:tc>
        <w:tc>
          <w:tcPr>
            <w:tcW w:type="dxa" w:w="1170"/>
          </w:tcPr>
          <w:p>
            <w:r>
              <w:rPr>
                <w:rFonts w:ascii="Times New Roman" w:hAnsi="Times New Roman"/>
                <w:sz w:val="22"/>
              </w:rPr>
              <w:t>-0.68</w:t>
            </w:r>
          </w:p>
        </w:tc>
        <w:tc>
          <w:tcPr>
            <w:tcW w:type="dxa" w:w="1170"/>
          </w:tcPr>
          <w:p>
            <w:r>
              <w:rPr>
                <w:rFonts w:ascii="Times New Roman" w:hAnsi="Times New Roman"/>
                <w:sz w:val="22"/>
              </w:rPr>
              <w:t>0.49</w:t>
            </w:r>
          </w:p>
        </w:tc>
        <w:tc>
          <w:tcPr>
            <w:tcW w:type="dxa" w:w="1170"/>
          </w:tcPr>
          <w:p>
            <w:r>
              <w:rPr>
                <w:rFonts w:ascii="Times New Roman" w:hAnsi="Times New Roman"/>
                <w:sz w:val="22"/>
              </w:rPr>
              <w:t>0.68</w:t>
            </w:r>
          </w:p>
        </w:tc>
        <w:tc>
          <w:tcPr>
            <w:tcW w:type="dxa" w:w="1170"/>
          </w:tcPr>
          <w:p>
            <w:r>
              <w:rPr>
                <w:rFonts w:ascii="Times New Roman" w:hAnsi="Times New Roman"/>
                <w:sz w:val="22"/>
              </w:rPr>
              <w:t>1.21</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1.05</w:t>
            </w:r>
          </w:p>
        </w:tc>
        <w:tc>
          <w:tcPr>
            <w:tcW w:type="dxa" w:w="1170"/>
          </w:tcPr>
          <w:p>
            <w:r>
              <w:rPr>
                <w:rFonts w:ascii="Times New Roman" w:hAnsi="Times New Roman"/>
                <w:sz w:val="22"/>
              </w:rPr>
              <w:t>0.12</w:t>
            </w:r>
          </w:p>
        </w:tc>
        <w:tc>
          <w:tcPr>
            <w:tcW w:type="dxa" w:w="1170"/>
          </w:tcPr>
          <w:p>
            <w:r>
              <w:rPr>
                <w:rFonts w:ascii="Times New Roman" w:hAnsi="Times New Roman"/>
                <w:sz w:val="22"/>
              </w:rPr>
              <w:t>0.41</w:t>
            </w:r>
          </w:p>
        </w:tc>
        <w:tc>
          <w:tcPr>
            <w:tcW w:type="dxa" w:w="1170"/>
          </w:tcPr>
          <w:p>
            <w:r>
              <w:rPr>
                <w:rFonts w:ascii="Times New Roman" w:hAnsi="Times New Roman"/>
                <w:sz w:val="22"/>
              </w:rPr>
              <w:t>0.68</w:t>
            </w:r>
          </w:p>
        </w:tc>
        <w:tc>
          <w:tcPr>
            <w:tcW w:type="dxa" w:w="1170"/>
          </w:tcPr>
          <w:p>
            <w:r>
              <w:rPr>
                <w:rFonts w:ascii="Times New Roman" w:hAnsi="Times New Roman"/>
                <w:sz w:val="22"/>
              </w:rPr>
              <w:t>0.82</w:t>
            </w:r>
          </w:p>
        </w:tc>
        <w:tc>
          <w:tcPr>
            <w:tcW w:type="dxa" w:w="1170"/>
          </w:tcPr>
          <w:p>
            <w:r>
              <w:rPr>
                <w:rFonts w:ascii="Times New Roman" w:hAnsi="Times New Roman"/>
                <w:sz w:val="22"/>
              </w:rPr>
              <w:t>1.34</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1.37</w:t>
            </w:r>
          </w:p>
        </w:tc>
        <w:tc>
          <w:tcPr>
            <w:tcW w:type="dxa" w:w="1170"/>
          </w:tcPr>
          <w:p>
            <w:r>
              <w:rPr>
                <w:rFonts w:ascii="Times New Roman" w:hAnsi="Times New Roman"/>
                <w:sz w:val="22"/>
              </w:rPr>
              <w:t>0.11</w:t>
            </w:r>
          </w:p>
        </w:tc>
        <w:tc>
          <w:tcPr>
            <w:tcW w:type="dxa" w:w="1170"/>
          </w:tcPr>
          <w:p>
            <w:r>
              <w:rPr>
                <w:rFonts w:ascii="Times New Roman" w:hAnsi="Times New Roman"/>
                <w:sz w:val="22"/>
              </w:rPr>
              <w:t>2.78</w:t>
            </w:r>
          </w:p>
        </w:tc>
        <w:tc>
          <w:tcPr>
            <w:tcW w:type="dxa" w:w="1170"/>
          </w:tcPr>
          <w:p>
            <w:r>
              <w:rPr>
                <w:rFonts w:ascii="Times New Roman" w:hAnsi="Times New Roman"/>
                <w:sz w:val="22"/>
              </w:rPr>
              <w:t>0.01</w:t>
            </w:r>
          </w:p>
        </w:tc>
        <w:tc>
          <w:tcPr>
            <w:tcW w:type="dxa" w:w="1170"/>
          </w:tcPr>
          <w:p>
            <w:r>
              <w:rPr>
                <w:rFonts w:ascii="Times New Roman" w:hAnsi="Times New Roman"/>
                <w:sz w:val="22"/>
              </w:rPr>
              <w:t>1.10</w:t>
            </w:r>
          </w:p>
        </w:tc>
        <w:tc>
          <w:tcPr>
            <w:tcW w:type="dxa" w:w="1170"/>
          </w:tcPr>
          <w:p>
            <w:r>
              <w:rPr>
                <w:rFonts w:ascii="Times New Roman" w:hAnsi="Times New Roman"/>
                <w:sz w:val="22"/>
              </w:rPr>
              <w:t>1.72</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1.90</w:t>
            </w:r>
          </w:p>
        </w:tc>
        <w:tc>
          <w:tcPr>
            <w:tcW w:type="dxa" w:w="1170"/>
          </w:tcPr>
          <w:p>
            <w:r>
              <w:rPr>
                <w:rFonts w:ascii="Times New Roman" w:hAnsi="Times New Roman"/>
                <w:sz w:val="22"/>
              </w:rPr>
              <w:t>0.12</w:t>
            </w:r>
          </w:p>
        </w:tc>
        <w:tc>
          <w:tcPr>
            <w:tcW w:type="dxa" w:w="1170"/>
          </w:tcPr>
          <w:p>
            <w:r>
              <w:rPr>
                <w:rFonts w:ascii="Times New Roman" w:hAnsi="Times New Roman"/>
                <w:sz w:val="22"/>
              </w:rPr>
              <w:t>5.32</w:t>
            </w:r>
          </w:p>
        </w:tc>
        <w:tc>
          <w:tcPr>
            <w:tcW w:type="dxa" w:w="1170"/>
          </w:tcPr>
          <w:p>
            <w:r>
              <w:rPr>
                <w:rFonts w:ascii="Times New Roman" w:hAnsi="Times New Roman"/>
                <w:sz w:val="22"/>
              </w:rPr>
              <w:t>0.00</w:t>
            </w:r>
          </w:p>
        </w:tc>
        <w:tc>
          <w:tcPr>
            <w:tcW w:type="dxa" w:w="1170"/>
          </w:tcPr>
          <w:p>
            <w:r>
              <w:rPr>
                <w:rFonts w:ascii="Times New Roman" w:hAnsi="Times New Roman"/>
                <w:sz w:val="22"/>
              </w:rPr>
              <w:t>1.50</w:t>
            </w:r>
          </w:p>
        </w:tc>
        <w:tc>
          <w:tcPr>
            <w:tcW w:type="dxa" w:w="1170"/>
          </w:tcPr>
          <w:p>
            <w:r>
              <w:rPr>
                <w:rFonts w:ascii="Times New Roman" w:hAnsi="Times New Roman"/>
                <w:sz w:val="22"/>
              </w:rPr>
              <w:t>2.41</w:t>
            </w:r>
          </w:p>
        </w:tc>
        <w:tc>
          <w:tcPr>
            <w:tcW w:type="dxa" w:w="1170"/>
          </w:tcPr>
          <w:p/>
        </w:tc>
      </w:tr>
    </w:tbl>
    <w:p/>
    <w:p>
      <w:r>
        <w:rPr>
          <w:b/>
        </w:rPr>
        <w:t>Table 10</w:t>
      </w:r>
    </w:p>
    <w:p>
      <w:r>
        <w:rPr>
          <w:i/>
        </w:rPr>
        <w:t>Survey-weighted logistic regression predicting Solo offending (Theft;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0.85</w:t>
            </w:r>
          </w:p>
        </w:tc>
        <w:tc>
          <w:tcPr>
            <w:tcW w:type="dxa" w:w="1170"/>
          </w:tcPr>
          <w:p>
            <w:r>
              <w:rPr>
                <w:rFonts w:ascii="Times New Roman" w:hAnsi="Times New Roman"/>
                <w:sz w:val="22"/>
              </w:rPr>
              <w:t>0.08</w:t>
            </w:r>
          </w:p>
        </w:tc>
        <w:tc>
          <w:tcPr>
            <w:tcW w:type="dxa" w:w="1170"/>
          </w:tcPr>
          <w:p>
            <w:r>
              <w:rPr>
                <w:rFonts w:ascii="Times New Roman" w:hAnsi="Times New Roman"/>
                <w:sz w:val="22"/>
              </w:rPr>
              <w:t>-2.02</w:t>
            </w:r>
          </w:p>
        </w:tc>
        <w:tc>
          <w:tcPr>
            <w:tcW w:type="dxa" w:w="1170"/>
          </w:tcPr>
          <w:p>
            <w:r>
              <w:rPr>
                <w:rFonts w:ascii="Times New Roman" w:hAnsi="Times New Roman"/>
                <w:sz w:val="22"/>
              </w:rPr>
              <w:t>0.05</w:t>
            </w:r>
          </w:p>
        </w:tc>
        <w:tc>
          <w:tcPr>
            <w:tcW w:type="dxa" w:w="1170"/>
          </w:tcPr>
          <w:p>
            <w:r>
              <w:rPr>
                <w:rFonts w:ascii="Times New Roman" w:hAnsi="Times New Roman"/>
                <w:sz w:val="22"/>
              </w:rPr>
              <w:t>0.73</w:t>
            </w:r>
          </w:p>
        </w:tc>
        <w:tc>
          <w:tcPr>
            <w:tcW w:type="dxa" w:w="1170"/>
          </w:tcPr>
          <w:p>
            <w:r>
              <w:rPr>
                <w:rFonts w:ascii="Times New Roman" w:hAnsi="Times New Roman"/>
                <w:sz w:val="22"/>
              </w:rPr>
              <w:t>1.00</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1.09</w:t>
            </w:r>
          </w:p>
        </w:tc>
        <w:tc>
          <w:tcPr>
            <w:tcW w:type="dxa" w:w="1170"/>
          </w:tcPr>
          <w:p>
            <w:r>
              <w:rPr>
                <w:rFonts w:ascii="Times New Roman" w:hAnsi="Times New Roman"/>
                <w:sz w:val="22"/>
              </w:rPr>
              <w:t>0.19</w:t>
            </w:r>
          </w:p>
        </w:tc>
        <w:tc>
          <w:tcPr>
            <w:tcW w:type="dxa" w:w="1170"/>
          </w:tcPr>
          <w:p>
            <w:r>
              <w:rPr>
                <w:rFonts w:ascii="Times New Roman" w:hAnsi="Times New Roman"/>
                <w:sz w:val="22"/>
              </w:rPr>
              <w:t>0.45</w:t>
            </w:r>
          </w:p>
        </w:tc>
        <w:tc>
          <w:tcPr>
            <w:tcW w:type="dxa" w:w="1170"/>
          </w:tcPr>
          <w:p>
            <w:r>
              <w:rPr>
                <w:rFonts w:ascii="Times New Roman" w:hAnsi="Times New Roman"/>
                <w:sz w:val="22"/>
              </w:rPr>
              <w:t>0.65</w:t>
            </w:r>
          </w:p>
        </w:tc>
        <w:tc>
          <w:tcPr>
            <w:tcW w:type="dxa" w:w="1170"/>
          </w:tcPr>
          <w:p>
            <w:r>
              <w:rPr>
                <w:rFonts w:ascii="Times New Roman" w:hAnsi="Times New Roman"/>
                <w:sz w:val="22"/>
              </w:rPr>
              <w:t>0.75</w:t>
            </w:r>
          </w:p>
        </w:tc>
        <w:tc>
          <w:tcPr>
            <w:tcW w:type="dxa" w:w="1170"/>
          </w:tcPr>
          <w:p>
            <w:r>
              <w:rPr>
                <w:rFonts w:ascii="Times New Roman" w:hAnsi="Times New Roman"/>
                <w:sz w:val="22"/>
              </w:rPr>
              <w:t>1.58</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0.86</w:t>
            </w:r>
          </w:p>
        </w:tc>
        <w:tc>
          <w:tcPr>
            <w:tcW w:type="dxa" w:w="1170"/>
          </w:tcPr>
          <w:p>
            <w:r>
              <w:rPr>
                <w:rFonts w:ascii="Times New Roman" w:hAnsi="Times New Roman"/>
                <w:sz w:val="22"/>
              </w:rPr>
              <w:t>0.14</w:t>
            </w:r>
          </w:p>
        </w:tc>
        <w:tc>
          <w:tcPr>
            <w:tcW w:type="dxa" w:w="1170"/>
          </w:tcPr>
          <w:p>
            <w:r>
              <w:rPr>
                <w:rFonts w:ascii="Times New Roman" w:hAnsi="Times New Roman"/>
                <w:sz w:val="22"/>
              </w:rPr>
              <w:t>-1.06</w:t>
            </w:r>
          </w:p>
        </w:tc>
        <w:tc>
          <w:tcPr>
            <w:tcW w:type="dxa" w:w="1170"/>
          </w:tcPr>
          <w:p>
            <w:r>
              <w:rPr>
                <w:rFonts w:ascii="Times New Roman" w:hAnsi="Times New Roman"/>
                <w:sz w:val="22"/>
              </w:rPr>
              <w:t>0.29</w:t>
            </w:r>
          </w:p>
        </w:tc>
        <w:tc>
          <w:tcPr>
            <w:tcW w:type="dxa" w:w="1170"/>
          </w:tcPr>
          <w:p>
            <w:r>
              <w:rPr>
                <w:rFonts w:ascii="Times New Roman" w:hAnsi="Times New Roman"/>
                <w:sz w:val="22"/>
              </w:rPr>
              <w:t>0.65</w:t>
            </w:r>
          </w:p>
        </w:tc>
        <w:tc>
          <w:tcPr>
            <w:tcW w:type="dxa" w:w="1170"/>
          </w:tcPr>
          <w:p>
            <w:r>
              <w:rPr>
                <w:rFonts w:ascii="Times New Roman" w:hAnsi="Times New Roman"/>
                <w:sz w:val="22"/>
              </w:rPr>
              <w:t>1.14</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0.95</w:t>
            </w:r>
          </w:p>
        </w:tc>
        <w:tc>
          <w:tcPr>
            <w:tcW w:type="dxa" w:w="1170"/>
          </w:tcPr>
          <w:p>
            <w:r>
              <w:rPr>
                <w:rFonts w:ascii="Times New Roman" w:hAnsi="Times New Roman"/>
                <w:sz w:val="22"/>
              </w:rPr>
              <w:t>0.12</w:t>
            </w:r>
          </w:p>
        </w:tc>
        <w:tc>
          <w:tcPr>
            <w:tcW w:type="dxa" w:w="1170"/>
          </w:tcPr>
          <w:p>
            <w:r>
              <w:rPr>
                <w:rFonts w:ascii="Times New Roman" w:hAnsi="Times New Roman"/>
                <w:sz w:val="22"/>
              </w:rPr>
              <w:t>-0.41</w:t>
            </w:r>
          </w:p>
        </w:tc>
        <w:tc>
          <w:tcPr>
            <w:tcW w:type="dxa" w:w="1170"/>
          </w:tcPr>
          <w:p>
            <w:r>
              <w:rPr>
                <w:rFonts w:ascii="Times New Roman" w:hAnsi="Times New Roman"/>
                <w:sz w:val="22"/>
              </w:rPr>
              <w:t>0.68</w:t>
            </w:r>
          </w:p>
        </w:tc>
        <w:tc>
          <w:tcPr>
            <w:tcW w:type="dxa" w:w="1170"/>
          </w:tcPr>
          <w:p>
            <w:r>
              <w:rPr>
                <w:rFonts w:ascii="Times New Roman" w:hAnsi="Times New Roman"/>
                <w:sz w:val="22"/>
              </w:rPr>
              <w:t>0.75</w:t>
            </w:r>
          </w:p>
        </w:tc>
        <w:tc>
          <w:tcPr>
            <w:tcW w:type="dxa" w:w="1170"/>
          </w:tcPr>
          <w:p>
            <w:r>
              <w:rPr>
                <w:rFonts w:ascii="Times New Roman" w:hAnsi="Times New Roman"/>
                <w:sz w:val="22"/>
              </w:rPr>
              <w:t>1.21</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1.31</w:t>
            </w:r>
          </w:p>
        </w:tc>
        <w:tc>
          <w:tcPr>
            <w:tcW w:type="dxa" w:w="1170"/>
          </w:tcPr>
          <w:p>
            <w:r>
              <w:rPr>
                <w:rFonts w:ascii="Times New Roman" w:hAnsi="Times New Roman"/>
                <w:sz w:val="22"/>
              </w:rPr>
              <w:t>0.09</w:t>
            </w:r>
          </w:p>
        </w:tc>
        <w:tc>
          <w:tcPr>
            <w:tcW w:type="dxa" w:w="1170"/>
          </w:tcPr>
          <w:p>
            <w:r>
              <w:rPr>
                <w:rFonts w:ascii="Times New Roman" w:hAnsi="Times New Roman"/>
                <w:sz w:val="22"/>
              </w:rPr>
              <w:t>2.84</w:t>
            </w:r>
          </w:p>
        </w:tc>
        <w:tc>
          <w:tcPr>
            <w:tcW w:type="dxa" w:w="1170"/>
          </w:tcPr>
          <w:p>
            <w:r>
              <w:rPr>
                <w:rFonts w:ascii="Times New Roman" w:hAnsi="Times New Roman"/>
                <w:sz w:val="22"/>
              </w:rPr>
              <w:t>0.01</w:t>
            </w:r>
          </w:p>
        </w:tc>
        <w:tc>
          <w:tcPr>
            <w:tcW w:type="dxa" w:w="1170"/>
          </w:tcPr>
          <w:p>
            <w:r>
              <w:rPr>
                <w:rFonts w:ascii="Times New Roman" w:hAnsi="Times New Roman"/>
                <w:sz w:val="22"/>
              </w:rPr>
              <w:t>1.08</w:t>
            </w:r>
          </w:p>
        </w:tc>
        <w:tc>
          <w:tcPr>
            <w:tcW w:type="dxa" w:w="1170"/>
          </w:tcPr>
          <w:p>
            <w:r>
              <w:rPr>
                <w:rFonts w:ascii="Times New Roman" w:hAnsi="Times New Roman"/>
                <w:sz w:val="22"/>
              </w:rPr>
              <w:t>1.57</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1.80</w:t>
            </w:r>
          </w:p>
        </w:tc>
        <w:tc>
          <w:tcPr>
            <w:tcW w:type="dxa" w:w="1170"/>
          </w:tcPr>
          <w:p>
            <w:r>
              <w:rPr>
                <w:rFonts w:ascii="Times New Roman" w:hAnsi="Times New Roman"/>
                <w:sz w:val="22"/>
              </w:rPr>
              <w:t>0.09</w:t>
            </w:r>
          </w:p>
        </w:tc>
        <w:tc>
          <w:tcPr>
            <w:tcW w:type="dxa" w:w="1170"/>
          </w:tcPr>
          <w:p>
            <w:r>
              <w:rPr>
                <w:rFonts w:ascii="Times New Roman" w:hAnsi="Times New Roman"/>
                <w:sz w:val="22"/>
              </w:rPr>
              <w:t>6.85</w:t>
            </w:r>
          </w:p>
        </w:tc>
        <w:tc>
          <w:tcPr>
            <w:tcW w:type="dxa" w:w="1170"/>
          </w:tcPr>
          <w:p>
            <w:r>
              <w:rPr>
                <w:rFonts w:ascii="Times New Roman" w:hAnsi="Times New Roman"/>
                <w:sz w:val="22"/>
              </w:rPr>
              <w:t>0.00</w:t>
            </w:r>
          </w:p>
        </w:tc>
        <w:tc>
          <w:tcPr>
            <w:tcW w:type="dxa" w:w="1170"/>
          </w:tcPr>
          <w:p>
            <w:r>
              <w:rPr>
                <w:rFonts w:ascii="Times New Roman" w:hAnsi="Times New Roman"/>
                <w:sz w:val="22"/>
              </w:rPr>
              <w:t>1.52</w:t>
            </w:r>
          </w:p>
        </w:tc>
        <w:tc>
          <w:tcPr>
            <w:tcW w:type="dxa" w:w="1170"/>
          </w:tcPr>
          <w:p>
            <w:r>
              <w:rPr>
                <w:rFonts w:ascii="Times New Roman" w:hAnsi="Times New Roman"/>
                <w:sz w:val="22"/>
              </w:rPr>
              <w:t>2.14</w:t>
            </w:r>
          </w:p>
        </w:tc>
        <w:tc>
          <w:tcPr>
            <w:tcW w:type="dxa" w:w="1170"/>
          </w:tcPr>
          <w:p/>
        </w:tc>
      </w:tr>
    </w:tbl>
    <w:p/>
    <w:p>
      <w:r>
        <w:rPr>
          <w:b/>
        </w:rPr>
        <w:t>Table 11</w:t>
      </w:r>
    </w:p>
    <w:p>
      <w:r>
        <w:rPr>
          <w:i/>
        </w:rPr>
        <w:t>Survey-weighted logistic regression predicting Solo offending (Violent;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0.72</w:t>
            </w:r>
          </w:p>
        </w:tc>
        <w:tc>
          <w:tcPr>
            <w:tcW w:type="dxa" w:w="1170"/>
          </w:tcPr>
          <w:p>
            <w:r>
              <w:rPr>
                <w:rFonts w:ascii="Times New Roman" w:hAnsi="Times New Roman"/>
                <w:sz w:val="22"/>
              </w:rPr>
              <w:t>0.10</w:t>
            </w:r>
          </w:p>
        </w:tc>
        <w:tc>
          <w:tcPr>
            <w:tcW w:type="dxa" w:w="1170"/>
          </w:tcPr>
          <w:p>
            <w:r>
              <w:rPr>
                <w:rFonts w:ascii="Times New Roman" w:hAnsi="Times New Roman"/>
                <w:sz w:val="22"/>
              </w:rPr>
              <w:t>-3.09</w:t>
            </w:r>
          </w:p>
        </w:tc>
        <w:tc>
          <w:tcPr>
            <w:tcW w:type="dxa" w:w="1170"/>
          </w:tcPr>
          <w:p>
            <w:r>
              <w:rPr>
                <w:rFonts w:ascii="Times New Roman" w:hAnsi="Times New Roman"/>
                <w:sz w:val="22"/>
              </w:rPr>
              <w:t>0.00</w:t>
            </w:r>
          </w:p>
        </w:tc>
        <w:tc>
          <w:tcPr>
            <w:tcW w:type="dxa" w:w="1170"/>
          </w:tcPr>
          <w:p>
            <w:r>
              <w:rPr>
                <w:rFonts w:ascii="Times New Roman" w:hAnsi="Times New Roman"/>
                <w:sz w:val="22"/>
              </w:rPr>
              <w:t>0.59</w:t>
            </w:r>
          </w:p>
        </w:tc>
        <w:tc>
          <w:tcPr>
            <w:tcW w:type="dxa" w:w="1170"/>
          </w:tcPr>
          <w:p>
            <w:r>
              <w:rPr>
                <w:rFonts w:ascii="Times New Roman" w:hAnsi="Times New Roman"/>
                <w:sz w:val="22"/>
              </w:rPr>
              <w:t>0.89</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1.24</w:t>
            </w:r>
          </w:p>
        </w:tc>
        <w:tc>
          <w:tcPr>
            <w:tcW w:type="dxa" w:w="1170"/>
          </w:tcPr>
          <w:p>
            <w:r>
              <w:rPr>
                <w:rFonts w:ascii="Times New Roman" w:hAnsi="Times New Roman"/>
                <w:sz w:val="22"/>
              </w:rPr>
              <w:t>0.18</w:t>
            </w:r>
          </w:p>
        </w:tc>
        <w:tc>
          <w:tcPr>
            <w:tcW w:type="dxa" w:w="1170"/>
          </w:tcPr>
          <w:p>
            <w:r>
              <w:rPr>
                <w:rFonts w:ascii="Times New Roman" w:hAnsi="Times New Roman"/>
                <w:sz w:val="22"/>
              </w:rPr>
              <w:t>1.22</w:t>
            </w:r>
          </w:p>
        </w:tc>
        <w:tc>
          <w:tcPr>
            <w:tcW w:type="dxa" w:w="1170"/>
          </w:tcPr>
          <w:p>
            <w:r>
              <w:rPr>
                <w:rFonts w:ascii="Times New Roman" w:hAnsi="Times New Roman"/>
                <w:sz w:val="22"/>
              </w:rPr>
              <w:t>0.23</w:t>
            </w:r>
          </w:p>
        </w:tc>
        <w:tc>
          <w:tcPr>
            <w:tcW w:type="dxa" w:w="1170"/>
          </w:tcPr>
          <w:p>
            <w:r>
              <w:rPr>
                <w:rFonts w:ascii="Times New Roman" w:hAnsi="Times New Roman"/>
                <w:sz w:val="22"/>
              </w:rPr>
              <w:t>0.87</w:t>
            </w:r>
          </w:p>
        </w:tc>
        <w:tc>
          <w:tcPr>
            <w:tcW w:type="dxa" w:w="1170"/>
          </w:tcPr>
          <w:p>
            <w:r>
              <w:rPr>
                <w:rFonts w:ascii="Times New Roman" w:hAnsi="Times New Roman"/>
                <w:sz w:val="22"/>
              </w:rPr>
              <w:t>1.76</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1.04</w:t>
            </w:r>
          </w:p>
        </w:tc>
        <w:tc>
          <w:tcPr>
            <w:tcW w:type="dxa" w:w="1170"/>
          </w:tcPr>
          <w:p>
            <w:r>
              <w:rPr>
                <w:rFonts w:ascii="Times New Roman" w:hAnsi="Times New Roman"/>
                <w:sz w:val="22"/>
              </w:rPr>
              <w:t>0.14</w:t>
            </w:r>
          </w:p>
        </w:tc>
        <w:tc>
          <w:tcPr>
            <w:tcW w:type="dxa" w:w="1170"/>
          </w:tcPr>
          <w:p>
            <w:r>
              <w:rPr>
                <w:rFonts w:ascii="Times New Roman" w:hAnsi="Times New Roman"/>
                <w:sz w:val="22"/>
              </w:rPr>
              <w:t>0.30</w:t>
            </w:r>
          </w:p>
        </w:tc>
        <w:tc>
          <w:tcPr>
            <w:tcW w:type="dxa" w:w="1170"/>
          </w:tcPr>
          <w:p>
            <w:r>
              <w:rPr>
                <w:rFonts w:ascii="Times New Roman" w:hAnsi="Times New Roman"/>
                <w:sz w:val="22"/>
              </w:rPr>
              <w:t>0.76</w:t>
            </w:r>
          </w:p>
        </w:tc>
        <w:tc>
          <w:tcPr>
            <w:tcW w:type="dxa" w:w="1170"/>
          </w:tcPr>
          <w:p>
            <w:r>
              <w:rPr>
                <w:rFonts w:ascii="Times New Roman" w:hAnsi="Times New Roman"/>
                <w:sz w:val="22"/>
              </w:rPr>
              <w:t>0.79</w:t>
            </w:r>
          </w:p>
        </w:tc>
        <w:tc>
          <w:tcPr>
            <w:tcW w:type="dxa" w:w="1170"/>
          </w:tcPr>
          <w:p>
            <w:r>
              <w:rPr>
                <w:rFonts w:ascii="Times New Roman" w:hAnsi="Times New Roman"/>
                <w:sz w:val="22"/>
              </w:rPr>
              <w:t>1.38</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1.20</w:t>
            </w:r>
          </w:p>
        </w:tc>
        <w:tc>
          <w:tcPr>
            <w:tcW w:type="dxa" w:w="1170"/>
          </w:tcPr>
          <w:p>
            <w:r>
              <w:rPr>
                <w:rFonts w:ascii="Times New Roman" w:hAnsi="Times New Roman"/>
                <w:sz w:val="22"/>
              </w:rPr>
              <w:t>0.11</w:t>
            </w:r>
          </w:p>
        </w:tc>
        <w:tc>
          <w:tcPr>
            <w:tcW w:type="dxa" w:w="1170"/>
          </w:tcPr>
          <w:p>
            <w:r>
              <w:rPr>
                <w:rFonts w:ascii="Times New Roman" w:hAnsi="Times New Roman"/>
                <w:sz w:val="22"/>
              </w:rPr>
              <w:t>1.73</w:t>
            </w:r>
          </w:p>
        </w:tc>
        <w:tc>
          <w:tcPr>
            <w:tcW w:type="dxa" w:w="1170"/>
          </w:tcPr>
          <w:p>
            <w:r>
              <w:rPr>
                <w:rFonts w:ascii="Times New Roman" w:hAnsi="Times New Roman"/>
                <w:sz w:val="22"/>
              </w:rPr>
              <w:t>0.09</w:t>
            </w:r>
          </w:p>
        </w:tc>
        <w:tc>
          <w:tcPr>
            <w:tcW w:type="dxa" w:w="1170"/>
          </w:tcPr>
          <w:p>
            <w:r>
              <w:rPr>
                <w:rFonts w:ascii="Times New Roman" w:hAnsi="Times New Roman"/>
                <w:sz w:val="22"/>
              </w:rPr>
              <w:t>0.97</w:t>
            </w:r>
          </w:p>
        </w:tc>
        <w:tc>
          <w:tcPr>
            <w:tcW w:type="dxa" w:w="1170"/>
          </w:tcPr>
          <w:p>
            <w:r>
              <w:rPr>
                <w:rFonts w:ascii="Times New Roman" w:hAnsi="Times New Roman"/>
                <w:sz w:val="22"/>
              </w:rPr>
              <w:t>1.49</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1.99</w:t>
            </w:r>
          </w:p>
        </w:tc>
        <w:tc>
          <w:tcPr>
            <w:tcW w:type="dxa" w:w="1170"/>
          </w:tcPr>
          <w:p>
            <w:r>
              <w:rPr>
                <w:rFonts w:ascii="Times New Roman" w:hAnsi="Times New Roman"/>
                <w:sz w:val="22"/>
              </w:rPr>
              <w:t>0.10</w:t>
            </w:r>
          </w:p>
        </w:tc>
        <w:tc>
          <w:tcPr>
            <w:tcW w:type="dxa" w:w="1170"/>
          </w:tcPr>
          <w:p>
            <w:r>
              <w:rPr>
                <w:rFonts w:ascii="Times New Roman" w:hAnsi="Times New Roman"/>
                <w:sz w:val="22"/>
              </w:rPr>
              <w:t>7.20</w:t>
            </w:r>
          </w:p>
        </w:tc>
        <w:tc>
          <w:tcPr>
            <w:tcW w:type="dxa" w:w="1170"/>
          </w:tcPr>
          <w:p>
            <w:r>
              <w:rPr>
                <w:rFonts w:ascii="Times New Roman" w:hAnsi="Times New Roman"/>
                <w:sz w:val="22"/>
              </w:rPr>
              <w:t>0.00</w:t>
            </w:r>
          </w:p>
        </w:tc>
        <w:tc>
          <w:tcPr>
            <w:tcW w:type="dxa" w:w="1170"/>
          </w:tcPr>
          <w:p>
            <w:r>
              <w:rPr>
                <w:rFonts w:ascii="Times New Roman" w:hAnsi="Times New Roman"/>
                <w:sz w:val="22"/>
              </w:rPr>
              <w:t>1.64</w:t>
            </w:r>
          </w:p>
        </w:tc>
        <w:tc>
          <w:tcPr>
            <w:tcW w:type="dxa" w:w="1170"/>
          </w:tcPr>
          <w:p>
            <w:r>
              <w:rPr>
                <w:rFonts w:ascii="Times New Roman" w:hAnsi="Times New Roman"/>
                <w:sz w:val="22"/>
              </w:rPr>
              <w:t>2.40</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2.65</w:t>
            </w:r>
          </w:p>
        </w:tc>
        <w:tc>
          <w:tcPr>
            <w:tcW w:type="dxa" w:w="1170"/>
          </w:tcPr>
          <w:p>
            <w:r>
              <w:rPr>
                <w:rFonts w:ascii="Times New Roman" w:hAnsi="Times New Roman"/>
                <w:sz w:val="22"/>
              </w:rPr>
              <w:t>0.10</w:t>
            </w:r>
          </w:p>
        </w:tc>
        <w:tc>
          <w:tcPr>
            <w:tcW w:type="dxa" w:w="1170"/>
          </w:tcPr>
          <w:p>
            <w:r>
              <w:rPr>
                <w:rFonts w:ascii="Times New Roman" w:hAnsi="Times New Roman"/>
                <w:sz w:val="22"/>
              </w:rPr>
              <w:t>10.22</w:t>
            </w:r>
          </w:p>
        </w:tc>
        <w:tc>
          <w:tcPr>
            <w:tcW w:type="dxa" w:w="1170"/>
          </w:tcPr>
          <w:p>
            <w:r>
              <w:rPr>
                <w:rFonts w:ascii="Times New Roman" w:hAnsi="Times New Roman"/>
                <w:sz w:val="22"/>
              </w:rPr>
              <w:t>0.00</w:t>
            </w:r>
          </w:p>
        </w:tc>
        <w:tc>
          <w:tcPr>
            <w:tcW w:type="dxa" w:w="1170"/>
          </w:tcPr>
          <w:p>
            <w:r>
              <w:rPr>
                <w:rFonts w:ascii="Times New Roman" w:hAnsi="Times New Roman"/>
                <w:sz w:val="22"/>
              </w:rPr>
              <w:t>2.20</w:t>
            </w:r>
          </w:p>
        </w:tc>
        <w:tc>
          <w:tcPr>
            <w:tcW w:type="dxa" w:w="1170"/>
          </w:tcPr>
          <w:p>
            <w:r>
              <w:rPr>
                <w:rFonts w:ascii="Times New Roman" w:hAnsi="Times New Roman"/>
                <w:sz w:val="22"/>
              </w:rPr>
              <w:t>3.20</w:t>
            </w:r>
          </w:p>
        </w:tc>
        <w:tc>
          <w:tcPr>
            <w:tcW w:type="dxa" w:w="1170"/>
          </w:tcPr>
          <w:p/>
        </w:tc>
      </w:tr>
    </w:tbl>
    <w:p/>
    <w:p>
      <w:r>
        <w:rPr>
          <w:b/>
        </w:rPr>
        <w:t>Table 12</w:t>
      </w:r>
    </w:p>
    <w:p>
      <w:r>
        <w:rPr>
          <w:i/>
        </w:rPr>
        <w:t>Survey-weighted logistic regression predicting Solo offending (Violent;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0.87</w:t>
            </w:r>
          </w:p>
        </w:tc>
        <w:tc>
          <w:tcPr>
            <w:tcW w:type="dxa" w:w="1170"/>
          </w:tcPr>
          <w:p>
            <w:r>
              <w:rPr>
                <w:rFonts w:ascii="Times New Roman" w:hAnsi="Times New Roman"/>
                <w:sz w:val="22"/>
              </w:rPr>
              <w:t>0.07</w:t>
            </w:r>
          </w:p>
        </w:tc>
        <w:tc>
          <w:tcPr>
            <w:tcW w:type="dxa" w:w="1170"/>
          </w:tcPr>
          <w:p>
            <w:r>
              <w:rPr>
                <w:rFonts w:ascii="Times New Roman" w:hAnsi="Times New Roman"/>
                <w:sz w:val="22"/>
              </w:rPr>
              <w:t>-1.87</w:t>
            </w:r>
          </w:p>
        </w:tc>
        <w:tc>
          <w:tcPr>
            <w:tcW w:type="dxa" w:w="1170"/>
          </w:tcPr>
          <w:p>
            <w:r>
              <w:rPr>
                <w:rFonts w:ascii="Times New Roman" w:hAnsi="Times New Roman"/>
                <w:sz w:val="22"/>
              </w:rPr>
              <w:t>0.06</w:t>
            </w:r>
          </w:p>
        </w:tc>
        <w:tc>
          <w:tcPr>
            <w:tcW w:type="dxa" w:w="1170"/>
          </w:tcPr>
          <w:p>
            <w:r>
              <w:rPr>
                <w:rFonts w:ascii="Times New Roman" w:hAnsi="Times New Roman"/>
                <w:sz w:val="22"/>
              </w:rPr>
              <w:t>0.76</w:t>
            </w:r>
          </w:p>
        </w:tc>
        <w:tc>
          <w:tcPr>
            <w:tcW w:type="dxa" w:w="1170"/>
          </w:tcPr>
          <w:p>
            <w:r>
              <w:rPr>
                <w:rFonts w:ascii="Times New Roman" w:hAnsi="Times New Roman"/>
                <w:sz w:val="22"/>
              </w:rPr>
              <w:t>1.01</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1.03</w:t>
            </w:r>
          </w:p>
        </w:tc>
        <w:tc>
          <w:tcPr>
            <w:tcW w:type="dxa" w:w="1170"/>
          </w:tcPr>
          <w:p>
            <w:r>
              <w:rPr>
                <w:rFonts w:ascii="Times New Roman" w:hAnsi="Times New Roman"/>
                <w:sz w:val="22"/>
              </w:rPr>
              <w:t>0.18</w:t>
            </w:r>
          </w:p>
        </w:tc>
        <w:tc>
          <w:tcPr>
            <w:tcW w:type="dxa" w:w="1170"/>
          </w:tcPr>
          <w:p>
            <w:r>
              <w:rPr>
                <w:rFonts w:ascii="Times New Roman" w:hAnsi="Times New Roman"/>
                <w:sz w:val="22"/>
              </w:rPr>
              <w:t>0.16</w:t>
            </w:r>
          </w:p>
        </w:tc>
        <w:tc>
          <w:tcPr>
            <w:tcW w:type="dxa" w:w="1170"/>
          </w:tcPr>
          <w:p>
            <w:r>
              <w:rPr>
                <w:rFonts w:ascii="Times New Roman" w:hAnsi="Times New Roman"/>
                <w:sz w:val="22"/>
              </w:rPr>
              <w:t>0.87</w:t>
            </w:r>
          </w:p>
        </w:tc>
        <w:tc>
          <w:tcPr>
            <w:tcW w:type="dxa" w:w="1170"/>
          </w:tcPr>
          <w:p>
            <w:r>
              <w:rPr>
                <w:rFonts w:ascii="Times New Roman" w:hAnsi="Times New Roman"/>
                <w:sz w:val="22"/>
              </w:rPr>
              <w:t>0.72</w:t>
            </w:r>
          </w:p>
        </w:tc>
        <w:tc>
          <w:tcPr>
            <w:tcW w:type="dxa" w:w="1170"/>
          </w:tcPr>
          <w:p>
            <w:r>
              <w:rPr>
                <w:rFonts w:ascii="Times New Roman" w:hAnsi="Times New Roman"/>
                <w:sz w:val="22"/>
              </w:rPr>
              <w:t>1.47</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0.87</w:t>
            </w:r>
          </w:p>
        </w:tc>
        <w:tc>
          <w:tcPr>
            <w:tcW w:type="dxa" w:w="1170"/>
          </w:tcPr>
          <w:p>
            <w:r>
              <w:rPr>
                <w:rFonts w:ascii="Times New Roman" w:hAnsi="Times New Roman"/>
                <w:sz w:val="22"/>
              </w:rPr>
              <w:t>0.14</w:t>
            </w:r>
          </w:p>
        </w:tc>
        <w:tc>
          <w:tcPr>
            <w:tcW w:type="dxa" w:w="1170"/>
          </w:tcPr>
          <w:p>
            <w:r>
              <w:rPr>
                <w:rFonts w:ascii="Times New Roman" w:hAnsi="Times New Roman"/>
                <w:sz w:val="22"/>
              </w:rPr>
              <w:t>-1.02</w:t>
            </w:r>
          </w:p>
        </w:tc>
        <w:tc>
          <w:tcPr>
            <w:tcW w:type="dxa" w:w="1170"/>
          </w:tcPr>
          <w:p>
            <w:r>
              <w:rPr>
                <w:rFonts w:ascii="Times New Roman" w:hAnsi="Times New Roman"/>
                <w:sz w:val="22"/>
              </w:rPr>
              <w:t>0.31</w:t>
            </w:r>
          </w:p>
        </w:tc>
        <w:tc>
          <w:tcPr>
            <w:tcW w:type="dxa" w:w="1170"/>
          </w:tcPr>
          <w:p>
            <w:r>
              <w:rPr>
                <w:rFonts w:ascii="Times New Roman" w:hAnsi="Times New Roman"/>
                <w:sz w:val="22"/>
              </w:rPr>
              <w:t>0.66</w:t>
            </w:r>
          </w:p>
        </w:tc>
        <w:tc>
          <w:tcPr>
            <w:tcW w:type="dxa" w:w="1170"/>
          </w:tcPr>
          <w:p>
            <w:r>
              <w:rPr>
                <w:rFonts w:ascii="Times New Roman" w:hAnsi="Times New Roman"/>
                <w:sz w:val="22"/>
              </w:rPr>
              <w:t>1.14</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0.83</w:t>
            </w:r>
          </w:p>
        </w:tc>
        <w:tc>
          <w:tcPr>
            <w:tcW w:type="dxa" w:w="1170"/>
          </w:tcPr>
          <w:p>
            <w:r>
              <w:rPr>
                <w:rFonts w:ascii="Times New Roman" w:hAnsi="Times New Roman"/>
                <w:sz w:val="22"/>
              </w:rPr>
              <w:t>0.11</w:t>
            </w:r>
          </w:p>
        </w:tc>
        <w:tc>
          <w:tcPr>
            <w:tcW w:type="dxa" w:w="1170"/>
          </w:tcPr>
          <w:p>
            <w:r>
              <w:rPr>
                <w:rFonts w:ascii="Times New Roman" w:hAnsi="Times New Roman"/>
                <w:sz w:val="22"/>
              </w:rPr>
              <w:t>-1.73</w:t>
            </w:r>
          </w:p>
        </w:tc>
        <w:tc>
          <w:tcPr>
            <w:tcW w:type="dxa" w:w="1170"/>
          </w:tcPr>
          <w:p>
            <w:r>
              <w:rPr>
                <w:rFonts w:ascii="Times New Roman" w:hAnsi="Times New Roman"/>
                <w:sz w:val="22"/>
              </w:rPr>
              <w:t>0.09</w:t>
            </w:r>
          </w:p>
        </w:tc>
        <w:tc>
          <w:tcPr>
            <w:tcW w:type="dxa" w:w="1170"/>
          </w:tcPr>
          <w:p>
            <w:r>
              <w:rPr>
                <w:rFonts w:ascii="Times New Roman" w:hAnsi="Times New Roman"/>
                <w:sz w:val="22"/>
              </w:rPr>
              <w:t>0.67</w:t>
            </w:r>
          </w:p>
        </w:tc>
        <w:tc>
          <w:tcPr>
            <w:tcW w:type="dxa" w:w="1170"/>
          </w:tcPr>
          <w:p>
            <w:r>
              <w:rPr>
                <w:rFonts w:ascii="Times New Roman" w:hAnsi="Times New Roman"/>
                <w:sz w:val="22"/>
              </w:rPr>
              <w:t>1.03</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1.65</w:t>
            </w:r>
          </w:p>
        </w:tc>
        <w:tc>
          <w:tcPr>
            <w:tcW w:type="dxa" w:w="1170"/>
          </w:tcPr>
          <w:p>
            <w:r>
              <w:rPr>
                <w:rFonts w:ascii="Times New Roman" w:hAnsi="Times New Roman"/>
                <w:sz w:val="22"/>
              </w:rPr>
              <w:t>0.08</w:t>
            </w:r>
          </w:p>
        </w:tc>
        <w:tc>
          <w:tcPr>
            <w:tcW w:type="dxa" w:w="1170"/>
          </w:tcPr>
          <w:p>
            <w:r>
              <w:rPr>
                <w:rFonts w:ascii="Times New Roman" w:hAnsi="Times New Roman"/>
                <w:sz w:val="22"/>
              </w:rPr>
              <w:t>6.56</w:t>
            </w:r>
          </w:p>
        </w:tc>
        <w:tc>
          <w:tcPr>
            <w:tcW w:type="dxa" w:w="1170"/>
          </w:tcPr>
          <w:p>
            <w:r>
              <w:rPr>
                <w:rFonts w:ascii="Times New Roman" w:hAnsi="Times New Roman"/>
                <w:sz w:val="22"/>
              </w:rPr>
              <w:t>0.00</w:t>
            </w:r>
          </w:p>
        </w:tc>
        <w:tc>
          <w:tcPr>
            <w:tcW w:type="dxa" w:w="1170"/>
          </w:tcPr>
          <w:p>
            <w:r>
              <w:rPr>
                <w:rFonts w:ascii="Times New Roman" w:hAnsi="Times New Roman"/>
                <w:sz w:val="22"/>
              </w:rPr>
              <w:t>1.42</w:t>
            </w:r>
          </w:p>
        </w:tc>
        <w:tc>
          <w:tcPr>
            <w:tcW w:type="dxa" w:w="1170"/>
          </w:tcPr>
          <w:p>
            <w:r>
              <w:rPr>
                <w:rFonts w:ascii="Times New Roman" w:hAnsi="Times New Roman"/>
                <w:sz w:val="22"/>
              </w:rPr>
              <w:t>1.92</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2.20</w:t>
            </w:r>
          </w:p>
        </w:tc>
        <w:tc>
          <w:tcPr>
            <w:tcW w:type="dxa" w:w="1170"/>
          </w:tcPr>
          <w:p>
            <w:r>
              <w:rPr>
                <w:rFonts w:ascii="Times New Roman" w:hAnsi="Times New Roman"/>
                <w:sz w:val="22"/>
              </w:rPr>
              <w:t>0.08</w:t>
            </w:r>
          </w:p>
        </w:tc>
        <w:tc>
          <w:tcPr>
            <w:tcW w:type="dxa" w:w="1170"/>
          </w:tcPr>
          <w:p>
            <w:r>
              <w:rPr>
                <w:rFonts w:ascii="Times New Roman" w:hAnsi="Times New Roman"/>
                <w:sz w:val="22"/>
              </w:rPr>
              <w:t>9.73</w:t>
            </w:r>
          </w:p>
        </w:tc>
        <w:tc>
          <w:tcPr>
            <w:tcW w:type="dxa" w:w="1170"/>
          </w:tcPr>
          <w:p>
            <w:r>
              <w:rPr>
                <w:rFonts w:ascii="Times New Roman" w:hAnsi="Times New Roman"/>
                <w:sz w:val="22"/>
              </w:rPr>
              <w:t>0.00</w:t>
            </w:r>
          </w:p>
        </w:tc>
        <w:tc>
          <w:tcPr>
            <w:tcW w:type="dxa" w:w="1170"/>
          </w:tcPr>
          <w:p>
            <w:r>
              <w:rPr>
                <w:rFonts w:ascii="Times New Roman" w:hAnsi="Times New Roman"/>
                <w:sz w:val="22"/>
              </w:rPr>
              <w:t>1.88</w:t>
            </w:r>
          </w:p>
        </w:tc>
        <w:tc>
          <w:tcPr>
            <w:tcW w:type="dxa" w:w="1170"/>
          </w:tcPr>
          <w:p>
            <w:r>
              <w:rPr>
                <w:rFonts w:ascii="Times New Roman" w:hAnsi="Times New Roman"/>
                <w:sz w:val="22"/>
              </w:rPr>
              <w:t>2.59</w:t>
            </w:r>
          </w:p>
        </w:tc>
        <w:tc>
          <w:tcPr>
            <w:tcW w:type="dxa" w:w="1170"/>
          </w:tcPr>
          <w:p/>
        </w:tc>
      </w:tr>
    </w:tbl>
    <w:p/>
    <w:p>
      <w:r>
        <w:rPr>
          <w:b/>
        </w:rPr>
        <w:t>Table 13</w:t>
      </w:r>
    </w:p>
    <w:p>
      <w:r>
        <w:rPr>
          <w:i/>
        </w:rPr>
        <w:t>Survey-weighted logistic regression predicting Solo offending (Co-offending analysis;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term</w:t>
            </w:r>
          </w:p>
        </w:tc>
        <w:tc>
          <w:tcPr>
            <w:tcW w:type="dxa" w:w="1170"/>
          </w:tcPr>
          <w:p>
            <w:r>
              <w:rPr>
                <w:rFonts w:ascii="Times New Roman" w:hAnsi="Times New Roman"/>
                <w:sz w:val="22"/>
              </w:rPr>
              <w:t>estimate</w:t>
            </w:r>
          </w:p>
        </w:tc>
        <w:tc>
          <w:tcPr>
            <w:tcW w:type="dxa" w:w="1170"/>
          </w:tcPr>
          <w:p>
            <w:r>
              <w:rPr>
                <w:rFonts w:ascii="Times New Roman" w:hAnsi="Times New Roman"/>
                <w:sz w:val="22"/>
              </w:rPr>
              <w:t>std.error</w:t>
            </w:r>
          </w:p>
        </w:tc>
        <w:tc>
          <w:tcPr>
            <w:tcW w:type="dxa" w:w="1170"/>
          </w:tcPr>
          <w:p>
            <w:r>
              <w:rPr>
                <w:rFonts w:ascii="Times New Roman" w:hAnsi="Times New Roman"/>
                <w:sz w:val="22"/>
              </w:rPr>
              <w:t>statistic</w:t>
            </w:r>
          </w:p>
        </w:tc>
        <w:tc>
          <w:tcPr>
            <w:tcW w:type="dxa" w:w="1170"/>
          </w:tcPr>
          <w:p>
            <w:r>
              <w:rPr>
                <w:rFonts w:ascii="Times New Roman" w:hAnsi="Times New Roman"/>
                <w:sz w:val="22"/>
              </w:rPr>
              <w:t>p.value</w:t>
            </w:r>
          </w:p>
        </w:tc>
        <w:tc>
          <w:tcPr>
            <w:tcW w:type="dxa" w:w="1170"/>
          </w:tcPr>
          <w:p>
            <w:r>
              <w:rPr>
                <w:rFonts w:ascii="Times New Roman" w:hAnsi="Times New Roman"/>
                <w:sz w:val="22"/>
              </w:rPr>
              <w:t>OR</w:t>
            </w:r>
          </w:p>
        </w:tc>
        <w:tc>
          <w:tcPr>
            <w:tcW w:type="dxa" w:w="1170"/>
          </w:tcPr>
          <w:p>
            <w:r>
              <w:rPr>
                <w:rFonts w:ascii="Times New Roman" w:hAnsi="Times New Roman"/>
                <w:sz w:val="22"/>
              </w:rPr>
              <w:t>OR_low</w:t>
            </w:r>
          </w:p>
        </w:tc>
        <w:tc>
          <w:tcPr>
            <w:tcW w:type="dxa" w:w="1170"/>
          </w:tcPr>
          <w:p>
            <w:r>
              <w:rPr>
                <w:rFonts w:ascii="Times New Roman" w:hAnsi="Times New Roman"/>
                <w:sz w:val="22"/>
              </w:rPr>
              <w:t>OR_high</w:t>
            </w:r>
          </w:p>
        </w:tc>
      </w:tr>
      <w:tr>
        <w:tc>
          <w:tcPr>
            <w:tcW w:type="dxa" w:w="1170"/>
          </w:tcPr>
          <w:p>
            <w:r>
              <w:rPr>
                <w:rFonts w:ascii="Times New Roman" w:hAnsi="Times New Roman"/>
                <w:sz w:val="22"/>
              </w:rPr>
              <w:t>(Intercept)</w:t>
            </w:r>
          </w:p>
        </w:tc>
        <w:tc>
          <w:tcPr>
            <w:tcW w:type="dxa" w:w="1170"/>
          </w:tcPr>
          <w:p>
            <w:r>
              <w:rPr>
                <w:rFonts w:ascii="Times New Roman" w:hAnsi="Times New Roman"/>
                <w:sz w:val="22"/>
              </w:rPr>
              <w:t>0.76408505</w:t>
            </w:r>
          </w:p>
        </w:tc>
        <w:tc>
          <w:tcPr>
            <w:tcW w:type="dxa" w:w="1170"/>
          </w:tcPr>
          <w:p>
            <w:r>
              <w:rPr>
                <w:rFonts w:ascii="Times New Roman" w:hAnsi="Times New Roman"/>
                <w:sz w:val="22"/>
              </w:rPr>
              <w:t>0.07305388</w:t>
            </w:r>
          </w:p>
        </w:tc>
        <w:tc>
          <w:tcPr>
            <w:tcW w:type="dxa" w:w="1170"/>
          </w:tcPr>
          <w:p>
            <w:r>
              <w:rPr>
                <w:rFonts w:ascii="Times New Roman" w:hAnsi="Times New Roman"/>
                <w:sz w:val="22"/>
              </w:rPr>
              <w:t>10.4591992</w:t>
            </w:r>
          </w:p>
        </w:tc>
        <w:tc>
          <w:tcPr>
            <w:tcW w:type="dxa" w:w="1170"/>
          </w:tcPr>
          <w:p>
            <w:r>
              <w:rPr>
                <w:rFonts w:ascii="Times New Roman" w:hAnsi="Times New Roman"/>
                <w:sz w:val="22"/>
              </w:rPr>
              <w:t>0.000000000000000000111372915181788406</w:t>
            </w:r>
          </w:p>
        </w:tc>
        <w:tc>
          <w:tcPr>
            <w:tcW w:type="dxa" w:w="1170"/>
          </w:tcPr>
          <w:p>
            <w:r>
              <w:rPr>
                <w:rFonts w:ascii="Times New Roman" w:hAnsi="Times New Roman"/>
                <w:sz w:val="22"/>
              </w:rPr>
              <w:t>2.1470291</w:t>
            </w:r>
          </w:p>
        </w:tc>
        <w:tc>
          <w:tcPr>
            <w:tcW w:type="dxa" w:w="1170"/>
          </w:tcPr>
          <w:p>
            <w:r>
              <w:rPr>
                <w:rFonts w:ascii="Times New Roman" w:hAnsi="Times New Roman"/>
                <w:sz w:val="22"/>
              </w:rPr>
              <w:t>1.8606008</w:t>
            </w:r>
          </w:p>
        </w:tc>
        <w:tc>
          <w:tcPr>
            <w:tcW w:type="dxa" w:w="1170"/>
          </w:tcPr>
          <w:p>
            <w:r>
              <w:rPr>
                <w:rFonts w:ascii="Times New Roman" w:hAnsi="Times New Roman"/>
                <w:sz w:val="22"/>
              </w:rPr>
              <w:t>2.477551</w:t>
            </w: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0.22323512</w:t>
            </w:r>
          </w:p>
        </w:tc>
        <w:tc>
          <w:tcPr>
            <w:tcW w:type="dxa" w:w="1170"/>
          </w:tcPr>
          <w:p>
            <w:r>
              <w:rPr>
                <w:rFonts w:ascii="Times New Roman" w:hAnsi="Times New Roman"/>
                <w:sz w:val="22"/>
              </w:rPr>
              <w:t>0.14122936</w:t>
            </w:r>
          </w:p>
        </w:tc>
        <w:tc>
          <w:tcPr>
            <w:tcW w:type="dxa" w:w="1170"/>
          </w:tcPr>
          <w:p>
            <w:r>
              <w:rPr>
                <w:rFonts w:ascii="Times New Roman" w:hAnsi="Times New Roman"/>
                <w:sz w:val="22"/>
              </w:rPr>
              <w:t>1.5806566</w:t>
            </w:r>
          </w:p>
        </w:tc>
        <w:tc>
          <w:tcPr>
            <w:tcW w:type="dxa" w:w="1170"/>
          </w:tcPr>
          <w:p>
            <w:r>
              <w:rPr>
                <w:rFonts w:ascii="Times New Roman" w:hAnsi="Times New Roman"/>
                <w:sz w:val="22"/>
              </w:rPr>
              <w:t>0.116008301079594394744631813409796450</w:t>
            </w:r>
          </w:p>
        </w:tc>
        <w:tc>
          <w:tcPr>
            <w:tcW w:type="dxa" w:w="1170"/>
          </w:tcPr>
          <w:p>
            <w:r>
              <w:rPr>
                <w:rFonts w:ascii="Times New Roman" w:hAnsi="Times New Roman"/>
                <w:sz w:val="22"/>
              </w:rPr>
              <w:t>1.2501145</w:t>
            </w:r>
          </w:p>
        </w:tc>
        <w:tc>
          <w:tcPr>
            <w:tcW w:type="dxa" w:w="1170"/>
          </w:tcPr>
          <w:p>
            <w:r>
              <w:rPr>
                <w:rFonts w:ascii="Times New Roman" w:hAnsi="Times New Roman"/>
                <w:sz w:val="22"/>
              </w:rPr>
              <w:t>0.9478354</w:t>
            </w:r>
          </w:p>
        </w:tc>
        <w:tc>
          <w:tcPr>
            <w:tcW w:type="dxa" w:w="1170"/>
          </w:tcPr>
          <w:p>
            <w:r>
              <w:rPr>
                <w:rFonts w:ascii="Times New Roman" w:hAnsi="Times New Roman"/>
                <w:sz w:val="22"/>
              </w:rPr>
              <w:t>1.648795</w:t>
            </w: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0.34935827</w:t>
            </w:r>
          </w:p>
        </w:tc>
        <w:tc>
          <w:tcPr>
            <w:tcW w:type="dxa" w:w="1170"/>
          </w:tcPr>
          <w:p>
            <w:r>
              <w:rPr>
                <w:rFonts w:ascii="Times New Roman" w:hAnsi="Times New Roman"/>
                <w:sz w:val="22"/>
              </w:rPr>
              <w:t>0.09165655</w:t>
            </w:r>
          </w:p>
        </w:tc>
        <w:tc>
          <w:tcPr>
            <w:tcW w:type="dxa" w:w="1170"/>
          </w:tcPr>
          <w:p>
            <w:r>
              <w:rPr>
                <w:rFonts w:ascii="Times New Roman" w:hAnsi="Times New Roman"/>
                <w:sz w:val="22"/>
              </w:rPr>
              <w:t>3.8116018</w:t>
            </w:r>
          </w:p>
        </w:tc>
        <w:tc>
          <w:tcPr>
            <w:tcW w:type="dxa" w:w="1170"/>
          </w:tcPr>
          <w:p>
            <w:r>
              <w:rPr>
                <w:rFonts w:ascii="Times New Roman" w:hAnsi="Times New Roman"/>
                <w:sz w:val="22"/>
              </w:rPr>
              <w:t>0.000199200392042061239688058305041807</w:t>
            </w:r>
          </w:p>
        </w:tc>
        <w:tc>
          <w:tcPr>
            <w:tcW w:type="dxa" w:w="1170"/>
          </w:tcPr>
          <w:p>
            <w:r>
              <w:rPr>
                <w:rFonts w:ascii="Times New Roman" w:hAnsi="Times New Roman"/>
                <w:sz w:val="22"/>
              </w:rPr>
              <w:t>1.4181572</w:t>
            </w:r>
          </w:p>
        </w:tc>
        <w:tc>
          <w:tcPr>
            <w:tcW w:type="dxa" w:w="1170"/>
          </w:tcPr>
          <w:p>
            <w:r>
              <w:rPr>
                <w:rFonts w:ascii="Times New Roman" w:hAnsi="Times New Roman"/>
                <w:sz w:val="22"/>
              </w:rPr>
              <w:t>1.1849629</w:t>
            </w:r>
          </w:p>
        </w:tc>
        <w:tc>
          <w:tcPr>
            <w:tcW w:type="dxa" w:w="1170"/>
          </w:tcPr>
          <w:p>
            <w:r>
              <w:rPr>
                <w:rFonts w:ascii="Times New Roman" w:hAnsi="Times New Roman"/>
                <w:sz w:val="22"/>
              </w:rPr>
              <w:t>1.697243</w:t>
            </w:r>
          </w:p>
        </w:tc>
      </w:tr>
      <w:tr>
        <w:tc>
          <w:tcPr>
            <w:tcW w:type="dxa" w:w="1170"/>
          </w:tcPr>
          <w:p>
            <w:r>
              <w:rPr>
                <w:rFonts w:ascii="Times New Roman" w:hAnsi="Times New Roman"/>
                <w:sz w:val="22"/>
              </w:rPr>
              <w:t>age_group18–20</w:t>
            </w:r>
          </w:p>
        </w:tc>
        <w:tc>
          <w:tcPr>
            <w:tcW w:type="dxa" w:w="1170"/>
          </w:tcPr>
          <w:p>
            <w:r>
              <w:rPr>
                <w:rFonts w:ascii="Times New Roman" w:hAnsi="Times New Roman"/>
                <w:sz w:val="22"/>
              </w:rPr>
              <w:t>-0.02910666</w:t>
            </w:r>
          </w:p>
        </w:tc>
        <w:tc>
          <w:tcPr>
            <w:tcW w:type="dxa" w:w="1170"/>
          </w:tcPr>
          <w:p>
            <w:r>
              <w:rPr>
                <w:rFonts w:ascii="Times New Roman" w:hAnsi="Times New Roman"/>
                <w:sz w:val="22"/>
              </w:rPr>
              <w:t>0.08862297</w:t>
            </w:r>
          </w:p>
        </w:tc>
        <w:tc>
          <w:tcPr>
            <w:tcW w:type="dxa" w:w="1170"/>
          </w:tcPr>
          <w:p>
            <w:r>
              <w:rPr>
                <w:rFonts w:ascii="Times New Roman" w:hAnsi="Times New Roman"/>
                <w:sz w:val="22"/>
              </w:rPr>
              <w:t>-0.3284324</w:t>
            </w:r>
          </w:p>
        </w:tc>
        <w:tc>
          <w:tcPr>
            <w:tcW w:type="dxa" w:w="1170"/>
          </w:tcPr>
          <w:p>
            <w:r>
              <w:rPr>
                <w:rFonts w:ascii="Times New Roman" w:hAnsi="Times New Roman"/>
                <w:sz w:val="22"/>
              </w:rPr>
              <w:t>0.743030878971270070110222150105983019</w:t>
            </w:r>
          </w:p>
        </w:tc>
        <w:tc>
          <w:tcPr>
            <w:tcW w:type="dxa" w:w="1170"/>
          </w:tcPr>
          <w:p>
            <w:r>
              <w:rPr>
                <w:rFonts w:ascii="Times New Roman" w:hAnsi="Times New Roman"/>
                <w:sz w:val="22"/>
              </w:rPr>
              <w:t>0.9713129</w:t>
            </w:r>
          </w:p>
        </w:tc>
        <w:tc>
          <w:tcPr>
            <w:tcW w:type="dxa" w:w="1170"/>
          </w:tcPr>
          <w:p>
            <w:r>
              <w:rPr>
                <w:rFonts w:ascii="Times New Roman" w:hAnsi="Times New Roman"/>
                <w:sz w:val="22"/>
              </w:rPr>
              <w:t>0.8164353</w:t>
            </w:r>
          </w:p>
        </w:tc>
        <w:tc>
          <w:tcPr>
            <w:tcW w:type="dxa" w:w="1170"/>
          </w:tcPr>
          <w:p>
            <w:r>
              <w:rPr>
                <w:rFonts w:ascii="Times New Roman" w:hAnsi="Times New Roman"/>
                <w:sz w:val="22"/>
              </w:rPr>
              <w:t>1.155571</w:t>
            </w:r>
          </w:p>
        </w:tc>
      </w:tr>
      <w:tr>
        <w:tc>
          <w:tcPr>
            <w:tcW w:type="dxa" w:w="1170"/>
          </w:tcPr>
          <w:p>
            <w:r>
              <w:rPr>
                <w:rFonts w:ascii="Times New Roman" w:hAnsi="Times New Roman"/>
                <w:sz w:val="22"/>
              </w:rPr>
              <w:t>age_group21–29</w:t>
            </w:r>
          </w:p>
        </w:tc>
        <w:tc>
          <w:tcPr>
            <w:tcW w:type="dxa" w:w="1170"/>
          </w:tcPr>
          <w:p>
            <w:r>
              <w:rPr>
                <w:rFonts w:ascii="Times New Roman" w:hAnsi="Times New Roman"/>
                <w:sz w:val="22"/>
              </w:rPr>
              <w:t>0.60885267</w:t>
            </w:r>
          </w:p>
        </w:tc>
        <w:tc>
          <w:tcPr>
            <w:tcW w:type="dxa" w:w="1170"/>
          </w:tcPr>
          <w:p>
            <w:r>
              <w:rPr>
                <w:rFonts w:ascii="Times New Roman" w:hAnsi="Times New Roman"/>
                <w:sz w:val="22"/>
              </w:rPr>
              <w:t>0.07623990</w:t>
            </w:r>
          </w:p>
        </w:tc>
        <w:tc>
          <w:tcPr>
            <w:tcW w:type="dxa" w:w="1170"/>
          </w:tcPr>
          <w:p>
            <w:r>
              <w:rPr>
                <w:rFonts w:ascii="Times New Roman" w:hAnsi="Times New Roman"/>
                <w:sz w:val="22"/>
              </w:rPr>
              <w:t>7.9860109</w:t>
            </w:r>
          </w:p>
        </w:tc>
        <w:tc>
          <w:tcPr>
            <w:tcW w:type="dxa" w:w="1170"/>
          </w:tcPr>
          <w:p>
            <w:r>
              <w:rPr>
                <w:rFonts w:ascii="Times New Roman" w:hAnsi="Times New Roman"/>
                <w:sz w:val="22"/>
              </w:rPr>
              <w:t>0.000000000000301949399680024080159580</w:t>
            </w:r>
          </w:p>
        </w:tc>
        <w:tc>
          <w:tcPr>
            <w:tcW w:type="dxa" w:w="1170"/>
          </w:tcPr>
          <w:p>
            <w:r>
              <w:rPr>
                <w:rFonts w:ascii="Times New Roman" w:hAnsi="Times New Roman"/>
                <w:sz w:val="22"/>
              </w:rPr>
              <w:t>1.8383210</w:t>
            </w:r>
          </w:p>
        </w:tc>
        <w:tc>
          <w:tcPr>
            <w:tcW w:type="dxa" w:w="1170"/>
          </w:tcPr>
          <w:p>
            <w:r>
              <w:rPr>
                <w:rFonts w:ascii="Times New Roman" w:hAnsi="Times New Roman"/>
                <w:sz w:val="22"/>
              </w:rPr>
              <w:t>1.5831594</w:t>
            </w:r>
          </w:p>
        </w:tc>
        <w:tc>
          <w:tcPr>
            <w:tcW w:type="dxa" w:w="1170"/>
          </w:tcPr>
          <w:p>
            <w:r>
              <w:rPr>
                <w:rFonts w:ascii="Times New Roman" w:hAnsi="Times New Roman"/>
                <w:sz w:val="22"/>
              </w:rPr>
              <w:t>2.134608</w:t>
            </w:r>
          </w:p>
        </w:tc>
      </w:tr>
      <w:tr>
        <w:tc>
          <w:tcPr>
            <w:tcW w:type="dxa" w:w="1170"/>
          </w:tcPr>
          <w:p>
            <w:r>
              <w:rPr>
                <w:rFonts w:ascii="Times New Roman" w:hAnsi="Times New Roman"/>
                <w:sz w:val="22"/>
              </w:rPr>
              <w:t>30+</w:t>
            </w:r>
          </w:p>
        </w:tc>
        <w:tc>
          <w:tcPr>
            <w:tcW w:type="dxa" w:w="1170"/>
          </w:tcPr>
          <w:p>
            <w:r>
              <w:rPr>
                <w:rFonts w:ascii="Times New Roman" w:hAnsi="Times New Roman"/>
                <w:sz w:val="22"/>
              </w:rPr>
              <w:t>1.22382527</w:t>
            </w:r>
          </w:p>
        </w:tc>
        <w:tc>
          <w:tcPr>
            <w:tcW w:type="dxa" w:w="1170"/>
          </w:tcPr>
          <w:p>
            <w:r>
              <w:rPr>
                <w:rFonts w:ascii="Times New Roman" w:hAnsi="Times New Roman"/>
                <w:sz w:val="22"/>
              </w:rPr>
              <w:t>0.08549983</w:t>
            </w:r>
          </w:p>
        </w:tc>
        <w:tc>
          <w:tcPr>
            <w:tcW w:type="dxa" w:w="1170"/>
          </w:tcPr>
          <w:p>
            <w:r>
              <w:rPr>
                <w:rFonts w:ascii="Times New Roman" w:hAnsi="Times New Roman"/>
                <w:sz w:val="22"/>
              </w:rPr>
              <w:t>14.3137750</w:t>
            </w:r>
          </w:p>
        </w:tc>
        <w:tc>
          <w:tcPr>
            <w:tcW w:type="dxa" w:w="1170"/>
          </w:tcPr>
          <w:p>
            <w:r>
              <w:rPr>
                <w:rFonts w:ascii="Times New Roman" w:hAnsi="Times New Roman"/>
                <w:sz w:val="22"/>
              </w:rPr>
              <w:t>0.000000000000000000000000000004312659</w:t>
            </w:r>
          </w:p>
        </w:tc>
        <w:tc>
          <w:tcPr>
            <w:tcW w:type="dxa" w:w="1170"/>
          </w:tcPr>
          <w:p>
            <w:r>
              <w:rPr>
                <w:rFonts w:ascii="Times New Roman" w:hAnsi="Times New Roman"/>
                <w:sz w:val="22"/>
              </w:rPr>
              <w:t>3.4001694</w:t>
            </w:r>
          </w:p>
        </w:tc>
        <w:tc>
          <w:tcPr>
            <w:tcW w:type="dxa" w:w="1170"/>
          </w:tcPr>
          <w:p>
            <w:r>
              <w:rPr>
                <w:rFonts w:ascii="Times New Roman" w:hAnsi="Times New Roman"/>
                <w:sz w:val="22"/>
              </w:rPr>
              <w:t>2.8755547</w:t>
            </w:r>
          </w:p>
        </w:tc>
        <w:tc>
          <w:tcPr>
            <w:tcW w:type="dxa" w:w="1170"/>
          </w:tcPr>
          <w:p>
            <w:r>
              <w:rPr>
                <w:rFonts w:ascii="Times New Roman" w:hAnsi="Times New Roman"/>
                <w:sz w:val="22"/>
              </w:rPr>
              <w:t>4.020495</w:t>
            </w:r>
          </w:p>
        </w:tc>
      </w:tr>
    </w:tbl>
    <w:p/>
    <w:p>
      <w:r>
        <w:rPr>
          <w:b/>
        </w:rPr>
        <w:t>Table 14</w:t>
      </w:r>
    </w:p>
    <w:p>
      <w:r>
        <w:rPr>
          <w:i/>
        </w:rPr>
        <w:t>Survey-weighted logistic regression predicting Solo offending (Co-offending analysis;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term</w:t>
            </w:r>
          </w:p>
        </w:tc>
        <w:tc>
          <w:tcPr>
            <w:tcW w:type="dxa" w:w="1170"/>
          </w:tcPr>
          <w:p>
            <w:r>
              <w:rPr>
                <w:rFonts w:ascii="Times New Roman" w:hAnsi="Times New Roman"/>
                <w:sz w:val="22"/>
              </w:rPr>
              <w:t>estimate</w:t>
            </w:r>
          </w:p>
        </w:tc>
        <w:tc>
          <w:tcPr>
            <w:tcW w:type="dxa" w:w="1170"/>
          </w:tcPr>
          <w:p>
            <w:r>
              <w:rPr>
                <w:rFonts w:ascii="Times New Roman" w:hAnsi="Times New Roman"/>
                <w:sz w:val="22"/>
              </w:rPr>
              <w:t>std.error</w:t>
            </w:r>
          </w:p>
        </w:tc>
        <w:tc>
          <w:tcPr>
            <w:tcW w:type="dxa" w:w="1170"/>
          </w:tcPr>
          <w:p>
            <w:r>
              <w:rPr>
                <w:rFonts w:ascii="Times New Roman" w:hAnsi="Times New Roman"/>
                <w:sz w:val="22"/>
              </w:rPr>
              <w:t>statistic</w:t>
            </w:r>
          </w:p>
        </w:tc>
        <w:tc>
          <w:tcPr>
            <w:tcW w:type="dxa" w:w="1170"/>
          </w:tcPr>
          <w:p>
            <w:r>
              <w:rPr>
                <w:rFonts w:ascii="Times New Roman" w:hAnsi="Times New Roman"/>
                <w:sz w:val="22"/>
              </w:rPr>
              <w:t>p.value</w:t>
            </w:r>
          </w:p>
        </w:tc>
        <w:tc>
          <w:tcPr>
            <w:tcW w:type="dxa" w:w="1170"/>
          </w:tcPr>
          <w:p>
            <w:r>
              <w:rPr>
                <w:rFonts w:ascii="Times New Roman" w:hAnsi="Times New Roman"/>
                <w:sz w:val="22"/>
              </w:rPr>
              <w:t>OR</w:t>
            </w:r>
          </w:p>
        </w:tc>
        <w:tc>
          <w:tcPr>
            <w:tcW w:type="dxa" w:w="1170"/>
          </w:tcPr>
          <w:p>
            <w:r>
              <w:rPr>
                <w:rFonts w:ascii="Times New Roman" w:hAnsi="Times New Roman"/>
                <w:sz w:val="22"/>
              </w:rPr>
              <w:t>OR_low</w:t>
            </w:r>
          </w:p>
        </w:tc>
        <w:tc>
          <w:tcPr>
            <w:tcW w:type="dxa" w:w="1170"/>
          </w:tcPr>
          <w:p>
            <w:r>
              <w:rPr>
                <w:rFonts w:ascii="Times New Roman" w:hAnsi="Times New Roman"/>
                <w:sz w:val="22"/>
              </w:rPr>
              <w:t>OR_high</w:t>
            </w:r>
          </w:p>
        </w:tc>
      </w:tr>
      <w:tr>
        <w:tc>
          <w:tcPr>
            <w:tcW w:type="dxa" w:w="1170"/>
          </w:tcPr>
          <w:p>
            <w:r>
              <w:rPr>
                <w:rFonts w:ascii="Times New Roman" w:hAnsi="Times New Roman"/>
                <w:sz w:val="22"/>
              </w:rPr>
              <w:t>(Intercept)</w:t>
            </w:r>
          </w:p>
        </w:tc>
        <w:tc>
          <w:tcPr>
            <w:tcW w:type="dxa" w:w="1170"/>
          </w:tcPr>
          <w:p>
            <w:r>
              <w:rPr>
                <w:rFonts w:ascii="Times New Roman" w:hAnsi="Times New Roman"/>
                <w:sz w:val="22"/>
              </w:rPr>
              <w:t>0.73497839</w:t>
            </w:r>
          </w:p>
        </w:tc>
        <w:tc>
          <w:tcPr>
            <w:tcW w:type="dxa" w:w="1170"/>
          </w:tcPr>
          <w:p>
            <w:r>
              <w:rPr>
                <w:rFonts w:ascii="Times New Roman" w:hAnsi="Times New Roman"/>
                <w:sz w:val="22"/>
              </w:rPr>
              <w:t>0.07266618</w:t>
            </w:r>
          </w:p>
        </w:tc>
        <w:tc>
          <w:tcPr>
            <w:tcW w:type="dxa" w:w="1170"/>
          </w:tcPr>
          <w:p>
            <w:r>
              <w:rPr>
                <w:rFonts w:ascii="Times New Roman" w:hAnsi="Times New Roman"/>
                <w:sz w:val="22"/>
              </w:rPr>
              <w:t>10.1144486</w:t>
            </w:r>
          </w:p>
        </w:tc>
        <w:tc>
          <w:tcPr>
            <w:tcW w:type="dxa" w:w="1170"/>
          </w:tcPr>
          <w:p>
            <w:r>
              <w:rPr>
                <w:rFonts w:ascii="Times New Roman" w:hAnsi="Times New Roman"/>
                <w:sz w:val="22"/>
              </w:rPr>
              <w:t>0.000000000000000000928956825615394200550330</w:t>
            </w:r>
          </w:p>
        </w:tc>
        <w:tc>
          <w:tcPr>
            <w:tcW w:type="dxa" w:w="1170"/>
          </w:tcPr>
          <w:p>
            <w:r>
              <w:rPr>
                <w:rFonts w:ascii="Times New Roman" w:hAnsi="Times New Roman"/>
                <w:sz w:val="22"/>
              </w:rPr>
              <w:t>2.085437</w:t>
            </w:r>
          </w:p>
        </w:tc>
        <w:tc>
          <w:tcPr>
            <w:tcW w:type="dxa" w:w="1170"/>
          </w:tcPr>
          <w:p>
            <w:r>
              <w:rPr>
                <w:rFonts w:ascii="Times New Roman" w:hAnsi="Times New Roman"/>
                <w:sz w:val="22"/>
              </w:rPr>
              <w:t>1.8085993</w:t>
            </w:r>
          </w:p>
        </w:tc>
        <w:tc>
          <w:tcPr>
            <w:tcW w:type="dxa" w:w="1170"/>
          </w:tcPr>
          <w:p>
            <w:r>
              <w:rPr>
                <w:rFonts w:ascii="Times New Roman" w:hAnsi="Times New Roman"/>
                <w:sz w:val="22"/>
              </w:rPr>
              <w:t>2.404649</w:t>
            </w: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0.02910666</w:t>
            </w:r>
          </w:p>
        </w:tc>
        <w:tc>
          <w:tcPr>
            <w:tcW w:type="dxa" w:w="1170"/>
          </w:tcPr>
          <w:p>
            <w:r>
              <w:rPr>
                <w:rFonts w:ascii="Times New Roman" w:hAnsi="Times New Roman"/>
                <w:sz w:val="22"/>
              </w:rPr>
              <w:t>0.08862297</w:t>
            </w:r>
          </w:p>
        </w:tc>
        <w:tc>
          <w:tcPr>
            <w:tcW w:type="dxa" w:w="1170"/>
          </w:tcPr>
          <w:p>
            <w:r>
              <w:rPr>
                <w:rFonts w:ascii="Times New Roman" w:hAnsi="Times New Roman"/>
                <w:sz w:val="22"/>
              </w:rPr>
              <w:t>0.3284324</w:t>
            </w:r>
          </w:p>
        </w:tc>
        <w:tc>
          <w:tcPr>
            <w:tcW w:type="dxa" w:w="1170"/>
          </w:tcPr>
          <w:p>
            <w:r>
              <w:rPr>
                <w:rFonts w:ascii="Times New Roman" w:hAnsi="Times New Roman"/>
                <w:sz w:val="22"/>
              </w:rPr>
              <w:t>0.743030878971200681171183077822206541895866</w:t>
            </w:r>
          </w:p>
        </w:tc>
        <w:tc>
          <w:tcPr>
            <w:tcW w:type="dxa" w:w="1170"/>
          </w:tcPr>
          <w:p>
            <w:r>
              <w:rPr>
                <w:rFonts w:ascii="Times New Roman" w:hAnsi="Times New Roman"/>
                <w:sz w:val="22"/>
              </w:rPr>
              <w:t>1.029534</w:t>
            </w:r>
          </w:p>
        </w:tc>
        <w:tc>
          <w:tcPr>
            <w:tcW w:type="dxa" w:w="1170"/>
          </w:tcPr>
          <w:p>
            <w:r>
              <w:rPr>
                <w:rFonts w:ascii="Times New Roman" w:hAnsi="Times New Roman"/>
                <w:sz w:val="22"/>
              </w:rPr>
              <w:t>0.8653733</w:t>
            </w:r>
          </w:p>
        </w:tc>
        <w:tc>
          <w:tcPr>
            <w:tcW w:type="dxa" w:w="1170"/>
          </w:tcPr>
          <w:p>
            <w:r>
              <w:rPr>
                <w:rFonts w:ascii="Times New Roman" w:hAnsi="Times New Roman"/>
                <w:sz w:val="22"/>
              </w:rPr>
              <w:t>1.224837</w:t>
            </w: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0.25234178</w:t>
            </w:r>
          </w:p>
        </w:tc>
        <w:tc>
          <w:tcPr>
            <w:tcW w:type="dxa" w:w="1170"/>
          </w:tcPr>
          <w:p>
            <w:r>
              <w:rPr>
                <w:rFonts w:ascii="Times New Roman" w:hAnsi="Times New Roman"/>
                <w:sz w:val="22"/>
              </w:rPr>
              <w:t>0.13419133</w:t>
            </w:r>
          </w:p>
        </w:tc>
        <w:tc>
          <w:tcPr>
            <w:tcW w:type="dxa" w:w="1170"/>
          </w:tcPr>
          <w:p>
            <w:r>
              <w:rPr>
                <w:rFonts w:ascii="Times New Roman" w:hAnsi="Times New Roman"/>
                <w:sz w:val="22"/>
              </w:rPr>
              <w:t>1.8804626</w:t>
            </w:r>
          </w:p>
        </w:tc>
        <w:tc>
          <w:tcPr>
            <w:tcW w:type="dxa" w:w="1170"/>
          </w:tcPr>
          <w:p>
            <w:r>
              <w:rPr>
                <w:rFonts w:ascii="Times New Roman" w:hAnsi="Times New Roman"/>
                <w:sz w:val="22"/>
              </w:rPr>
              <w:t>0.061933303941572981354823923538788221776485</w:t>
            </w:r>
          </w:p>
        </w:tc>
        <w:tc>
          <w:tcPr>
            <w:tcW w:type="dxa" w:w="1170"/>
          </w:tcPr>
          <w:p>
            <w:r>
              <w:rPr>
                <w:rFonts w:ascii="Times New Roman" w:hAnsi="Times New Roman"/>
                <w:sz w:val="22"/>
              </w:rPr>
              <w:t>1.287036</w:t>
            </w:r>
          </w:p>
        </w:tc>
        <w:tc>
          <w:tcPr>
            <w:tcW w:type="dxa" w:w="1170"/>
          </w:tcPr>
          <w:p>
            <w:r>
              <w:rPr>
                <w:rFonts w:ascii="Times New Roman" w:hAnsi="Times New Roman"/>
                <w:sz w:val="22"/>
              </w:rPr>
              <w:t>0.9893835</w:t>
            </w:r>
          </w:p>
        </w:tc>
        <w:tc>
          <w:tcPr>
            <w:tcW w:type="dxa" w:w="1170"/>
          </w:tcPr>
          <w:p>
            <w:r>
              <w:rPr>
                <w:rFonts w:ascii="Times New Roman" w:hAnsi="Times New Roman"/>
                <w:sz w:val="22"/>
              </w:rPr>
              <w:t>1.674236</w:t>
            </w: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0.37846493</w:t>
            </w:r>
          </w:p>
        </w:tc>
        <w:tc>
          <w:tcPr>
            <w:tcW w:type="dxa" w:w="1170"/>
          </w:tcPr>
          <w:p>
            <w:r>
              <w:rPr>
                <w:rFonts w:ascii="Times New Roman" w:hAnsi="Times New Roman"/>
                <w:sz w:val="22"/>
              </w:rPr>
              <w:t>0.09340464</w:t>
            </w:r>
          </w:p>
        </w:tc>
        <w:tc>
          <w:tcPr>
            <w:tcW w:type="dxa" w:w="1170"/>
          </w:tcPr>
          <w:p>
            <w:r>
              <w:rPr>
                <w:rFonts w:ascii="Times New Roman" w:hAnsi="Times New Roman"/>
                <w:sz w:val="22"/>
              </w:rPr>
              <w:t>4.0518858</w:t>
            </w:r>
          </w:p>
        </w:tc>
        <w:tc>
          <w:tcPr>
            <w:tcW w:type="dxa" w:w="1170"/>
          </w:tcPr>
          <w:p>
            <w:r>
              <w:rPr>
                <w:rFonts w:ascii="Times New Roman" w:hAnsi="Times New Roman"/>
                <w:sz w:val="22"/>
              </w:rPr>
              <w:t>0.000080346866324575248047290543240706028882</w:t>
            </w:r>
          </w:p>
        </w:tc>
        <w:tc>
          <w:tcPr>
            <w:tcW w:type="dxa" w:w="1170"/>
          </w:tcPr>
          <w:p>
            <w:r>
              <w:rPr>
                <w:rFonts w:ascii="Times New Roman" w:hAnsi="Times New Roman"/>
                <w:sz w:val="22"/>
              </w:rPr>
              <w:t>1.460042</w:t>
            </w:r>
          </w:p>
        </w:tc>
        <w:tc>
          <w:tcPr>
            <w:tcW w:type="dxa" w:w="1170"/>
          </w:tcPr>
          <w:p>
            <w:r>
              <w:rPr>
                <w:rFonts w:ascii="Times New Roman" w:hAnsi="Times New Roman"/>
                <w:sz w:val="22"/>
              </w:rPr>
              <w:t>1.2157873</w:t>
            </w:r>
          </w:p>
        </w:tc>
        <w:tc>
          <w:tcPr>
            <w:tcW w:type="dxa" w:w="1170"/>
          </w:tcPr>
          <w:p>
            <w:r>
              <w:rPr>
                <w:rFonts w:ascii="Times New Roman" w:hAnsi="Times New Roman"/>
                <w:sz w:val="22"/>
              </w:rPr>
              <w:t>1.753367</w:t>
            </w:r>
          </w:p>
        </w:tc>
      </w:tr>
      <w:tr>
        <w:tc>
          <w:tcPr>
            <w:tcW w:type="dxa" w:w="1170"/>
          </w:tcPr>
          <w:p>
            <w:r>
              <w:rPr>
                <w:rFonts w:ascii="Times New Roman" w:hAnsi="Times New Roman"/>
                <w:sz w:val="22"/>
              </w:rPr>
              <w:t>age_group21–29</w:t>
            </w:r>
          </w:p>
        </w:tc>
        <w:tc>
          <w:tcPr>
            <w:tcW w:type="dxa" w:w="1170"/>
          </w:tcPr>
          <w:p>
            <w:r>
              <w:rPr>
                <w:rFonts w:ascii="Times New Roman" w:hAnsi="Times New Roman"/>
                <w:sz w:val="22"/>
              </w:rPr>
              <w:t>0.63795933</w:t>
            </w:r>
          </w:p>
        </w:tc>
        <w:tc>
          <w:tcPr>
            <w:tcW w:type="dxa" w:w="1170"/>
          </w:tcPr>
          <w:p>
            <w:r>
              <w:rPr>
                <w:rFonts w:ascii="Times New Roman" w:hAnsi="Times New Roman"/>
                <w:sz w:val="22"/>
              </w:rPr>
              <w:t>0.08291503</w:t>
            </w:r>
          </w:p>
        </w:tc>
        <w:tc>
          <w:tcPr>
            <w:tcW w:type="dxa" w:w="1170"/>
          </w:tcPr>
          <w:p>
            <w:r>
              <w:rPr>
                <w:rFonts w:ascii="Times New Roman" w:hAnsi="Times New Roman"/>
                <w:sz w:val="22"/>
              </w:rPr>
              <w:t>7.6941338</w:t>
            </w:r>
          </w:p>
        </w:tc>
        <w:tc>
          <w:tcPr>
            <w:tcW w:type="dxa" w:w="1170"/>
          </w:tcPr>
          <w:p>
            <w:r>
              <w:rPr>
                <w:rFonts w:ascii="Times New Roman" w:hAnsi="Times New Roman"/>
                <w:sz w:val="22"/>
              </w:rPr>
              <w:t>0.000000000001589538413051797325961245858671</w:t>
            </w:r>
          </w:p>
        </w:tc>
        <w:tc>
          <w:tcPr>
            <w:tcW w:type="dxa" w:w="1170"/>
          </w:tcPr>
          <w:p>
            <w:r>
              <w:rPr>
                <w:rFonts w:ascii="Times New Roman" w:hAnsi="Times New Roman"/>
                <w:sz w:val="22"/>
              </w:rPr>
              <w:t>1.892615</w:t>
            </w:r>
          </w:p>
        </w:tc>
        <w:tc>
          <w:tcPr>
            <w:tcW w:type="dxa" w:w="1170"/>
          </w:tcPr>
          <w:p>
            <w:r>
              <w:rPr>
                <w:rFonts w:ascii="Times New Roman" w:hAnsi="Times New Roman"/>
                <w:sz w:val="22"/>
              </w:rPr>
              <w:t>1.6087313</w:t>
            </w:r>
          </w:p>
        </w:tc>
        <w:tc>
          <w:tcPr>
            <w:tcW w:type="dxa" w:w="1170"/>
          </w:tcPr>
          <w:p>
            <w:r>
              <w:rPr>
                <w:rFonts w:ascii="Times New Roman" w:hAnsi="Times New Roman"/>
                <w:sz w:val="22"/>
              </w:rPr>
              <w:t>2.226593</w:t>
            </w:r>
          </w:p>
        </w:tc>
      </w:tr>
      <w:tr>
        <w:tc>
          <w:tcPr>
            <w:tcW w:type="dxa" w:w="1170"/>
          </w:tcPr>
          <w:p>
            <w:r>
              <w:rPr>
                <w:rFonts w:ascii="Times New Roman" w:hAnsi="Times New Roman"/>
                <w:sz w:val="22"/>
              </w:rPr>
              <w:t>30+</w:t>
            </w:r>
          </w:p>
        </w:tc>
        <w:tc>
          <w:tcPr>
            <w:tcW w:type="dxa" w:w="1170"/>
          </w:tcPr>
          <w:p>
            <w:r>
              <w:rPr>
                <w:rFonts w:ascii="Times New Roman" w:hAnsi="Times New Roman"/>
                <w:sz w:val="22"/>
              </w:rPr>
              <w:t>1.25293192</w:t>
            </w:r>
          </w:p>
        </w:tc>
        <w:tc>
          <w:tcPr>
            <w:tcW w:type="dxa" w:w="1170"/>
          </w:tcPr>
          <w:p>
            <w:r>
              <w:rPr>
                <w:rFonts w:ascii="Times New Roman" w:hAnsi="Times New Roman"/>
                <w:sz w:val="22"/>
              </w:rPr>
              <w:t>0.07484652</w:t>
            </w:r>
          </w:p>
        </w:tc>
        <w:tc>
          <w:tcPr>
            <w:tcW w:type="dxa" w:w="1170"/>
          </w:tcPr>
          <w:p>
            <w:r>
              <w:rPr>
                <w:rFonts w:ascii="Times New Roman" w:hAnsi="Times New Roman"/>
                <w:sz w:val="22"/>
              </w:rPr>
              <w:t>16.7400152</w:t>
            </w:r>
          </w:p>
        </w:tc>
        <w:tc>
          <w:tcPr>
            <w:tcW w:type="dxa" w:w="1170"/>
          </w:tcPr>
          <w:p>
            <w:r>
              <w:rPr>
                <w:rFonts w:ascii="Times New Roman" w:hAnsi="Times New Roman"/>
                <w:sz w:val="22"/>
              </w:rPr>
              <w:t>0.000000000000000000000000000000000001721376</w:t>
            </w:r>
          </w:p>
        </w:tc>
        <w:tc>
          <w:tcPr>
            <w:tcW w:type="dxa" w:w="1170"/>
          </w:tcPr>
          <w:p>
            <w:r>
              <w:rPr>
                <w:rFonts w:ascii="Times New Roman" w:hAnsi="Times New Roman"/>
                <w:sz w:val="22"/>
              </w:rPr>
              <w:t>3.500591</w:t>
            </w:r>
          </w:p>
        </w:tc>
        <w:tc>
          <w:tcPr>
            <w:tcW w:type="dxa" w:w="1170"/>
          </w:tcPr>
          <w:p>
            <w:r>
              <w:rPr>
                <w:rFonts w:ascii="Times New Roman" w:hAnsi="Times New Roman"/>
                <w:sz w:val="22"/>
              </w:rPr>
              <w:t>3.0229487</w:t>
            </w:r>
          </w:p>
        </w:tc>
        <w:tc>
          <w:tcPr>
            <w:tcW w:type="dxa" w:w="1170"/>
          </w:tcPr>
          <w:p>
            <w:r>
              <w:rPr>
                <w:rFonts w:ascii="Times New Roman" w:hAnsi="Times New Roman"/>
                <w:sz w:val="22"/>
              </w:rPr>
              <w:t>4.053704</w:t>
            </w:r>
          </w:p>
        </w:tc>
      </w:tr>
    </w:tbl>
    <w:p/>
    <w:p>
      <w:r>
        <w:rPr>
          <w:b/>
        </w:rPr>
        <w:t>Table 15</w:t>
      </w:r>
    </w:p>
    <w:p>
      <w:r>
        <w:rPr>
          <w:i/>
        </w:rPr>
        <w:t>Supporting table: weighted counts/percentages calculation check (Total).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361,160</w:t>
            </w:r>
          </w:p>
        </w:tc>
        <w:tc>
          <w:tcPr>
            <w:tcW w:type="dxa" w:w="1872"/>
          </w:tcPr>
          <w:p>
            <w:r>
              <w:rPr>
                <w:rFonts w:ascii="Times New Roman" w:hAnsi="Times New Roman"/>
                <w:sz w:val="22"/>
              </w:rPr>
              <w:t>208,788</w:t>
            </w:r>
          </w:p>
        </w:tc>
        <w:tc>
          <w:tcPr>
            <w:tcW w:type="dxa" w:w="1872"/>
          </w:tcPr>
          <w:p>
            <w:r>
              <w:rPr>
                <w:rFonts w:ascii="Times New Roman" w:hAnsi="Times New Roman"/>
                <w:sz w:val="22"/>
              </w:rPr>
              <w:t>189,505</w:t>
            </w:r>
          </w:p>
        </w:tc>
        <w:tc>
          <w:tcPr>
            <w:tcW w:type="dxa" w:w="1872"/>
          </w:tcPr>
          <w:p>
            <w:r>
              <w:rPr>
                <w:rFonts w:ascii="Times New Roman" w:hAnsi="Times New Roman"/>
                <w:sz w:val="22"/>
              </w:rPr>
              <w:t>759,453</w:t>
            </w:r>
          </w:p>
        </w:tc>
      </w:tr>
      <w:tr>
        <w:tc>
          <w:tcPr>
            <w:tcW w:type="dxa" w:w="1872"/>
          </w:tcPr>
          <w:p>
            <w:r>
              <w:rPr>
                <w:rFonts w:ascii="Times New Roman" w:hAnsi="Times New Roman"/>
                <w:sz w:val="22"/>
              </w:rPr>
              <w:t>12–14</w:t>
            </w:r>
          </w:p>
        </w:tc>
        <w:tc>
          <w:tcPr>
            <w:tcW w:type="dxa" w:w="1872"/>
          </w:tcPr>
          <w:p>
            <w:r>
              <w:rPr>
                <w:rFonts w:ascii="Times New Roman" w:hAnsi="Times New Roman"/>
                <w:sz w:val="22"/>
              </w:rPr>
              <w:t>1,160,109</w:t>
            </w:r>
          </w:p>
        </w:tc>
        <w:tc>
          <w:tcPr>
            <w:tcW w:type="dxa" w:w="1872"/>
          </w:tcPr>
          <w:p>
            <w:r>
              <w:rPr>
                <w:rFonts w:ascii="Times New Roman" w:hAnsi="Times New Roman"/>
                <w:sz w:val="22"/>
              </w:rPr>
              <w:t>671,277</w:t>
            </w:r>
          </w:p>
        </w:tc>
        <w:tc>
          <w:tcPr>
            <w:tcW w:type="dxa" w:w="1872"/>
          </w:tcPr>
          <w:p>
            <w:r>
              <w:rPr>
                <w:rFonts w:ascii="Times New Roman" w:hAnsi="Times New Roman"/>
                <w:sz w:val="22"/>
              </w:rPr>
              <w:t>870,701</w:t>
            </w:r>
          </w:p>
        </w:tc>
        <w:tc>
          <w:tcPr>
            <w:tcW w:type="dxa" w:w="1872"/>
          </w:tcPr>
          <w:p>
            <w:r>
              <w:rPr>
                <w:rFonts w:ascii="Times New Roman" w:hAnsi="Times New Roman"/>
                <w:sz w:val="22"/>
              </w:rPr>
              <w:t>2,702,087</w:t>
            </w:r>
          </w:p>
        </w:tc>
      </w:tr>
      <w:tr>
        <w:tc>
          <w:tcPr>
            <w:tcW w:type="dxa" w:w="1872"/>
          </w:tcPr>
          <w:p>
            <w:r>
              <w:rPr>
                <w:rFonts w:ascii="Times New Roman" w:hAnsi="Times New Roman"/>
                <w:sz w:val="22"/>
              </w:rPr>
              <w:t>15–17</w:t>
            </w:r>
          </w:p>
        </w:tc>
        <w:tc>
          <w:tcPr>
            <w:tcW w:type="dxa" w:w="1872"/>
          </w:tcPr>
          <w:p>
            <w:r>
              <w:rPr>
                <w:rFonts w:ascii="Times New Roman" w:hAnsi="Times New Roman"/>
                <w:sz w:val="22"/>
              </w:rPr>
              <w:t>1,307,821</w:t>
            </w:r>
          </w:p>
        </w:tc>
        <w:tc>
          <w:tcPr>
            <w:tcW w:type="dxa" w:w="1872"/>
          </w:tcPr>
          <w:p>
            <w:r>
              <w:rPr>
                <w:rFonts w:ascii="Times New Roman" w:hAnsi="Times New Roman"/>
                <w:sz w:val="22"/>
              </w:rPr>
              <w:t>997,387</w:t>
            </w:r>
          </w:p>
        </w:tc>
        <w:tc>
          <w:tcPr>
            <w:tcW w:type="dxa" w:w="1872"/>
          </w:tcPr>
          <w:p>
            <w:r>
              <w:rPr>
                <w:rFonts w:ascii="Times New Roman" w:hAnsi="Times New Roman"/>
                <w:sz w:val="22"/>
              </w:rPr>
              <w:t>755,182</w:t>
            </w:r>
          </w:p>
        </w:tc>
        <w:tc>
          <w:tcPr>
            <w:tcW w:type="dxa" w:w="1872"/>
          </w:tcPr>
          <w:p>
            <w:r>
              <w:rPr>
                <w:rFonts w:ascii="Times New Roman" w:hAnsi="Times New Roman"/>
                <w:sz w:val="22"/>
              </w:rPr>
              <w:t>3,060,390</w:t>
            </w:r>
          </w:p>
        </w:tc>
      </w:tr>
      <w:tr>
        <w:tc>
          <w:tcPr>
            <w:tcW w:type="dxa" w:w="1872"/>
          </w:tcPr>
          <w:p>
            <w:r>
              <w:rPr>
                <w:rFonts w:ascii="Times New Roman" w:hAnsi="Times New Roman"/>
                <w:sz w:val="22"/>
              </w:rPr>
              <w:t>18–20</w:t>
            </w:r>
          </w:p>
        </w:tc>
        <w:tc>
          <w:tcPr>
            <w:tcW w:type="dxa" w:w="1872"/>
          </w:tcPr>
          <w:p>
            <w:r>
              <w:rPr>
                <w:rFonts w:ascii="Times New Roman" w:hAnsi="Times New Roman"/>
                <w:sz w:val="22"/>
              </w:rPr>
              <w:t>1,506,392</w:t>
            </w:r>
          </w:p>
        </w:tc>
        <w:tc>
          <w:tcPr>
            <w:tcW w:type="dxa" w:w="1872"/>
          </w:tcPr>
          <w:p>
            <w:r>
              <w:rPr>
                <w:rFonts w:ascii="Times New Roman" w:hAnsi="Times New Roman"/>
                <w:sz w:val="22"/>
              </w:rPr>
              <w:t>1,075,954</w:t>
            </w:r>
          </w:p>
        </w:tc>
        <w:tc>
          <w:tcPr>
            <w:tcW w:type="dxa" w:w="1872"/>
          </w:tcPr>
          <w:p>
            <w:r>
              <w:rPr>
                <w:rFonts w:ascii="Times New Roman" w:hAnsi="Times New Roman"/>
                <w:sz w:val="22"/>
              </w:rPr>
              <w:t>660,930</w:t>
            </w:r>
          </w:p>
        </w:tc>
        <w:tc>
          <w:tcPr>
            <w:tcW w:type="dxa" w:w="1872"/>
          </w:tcPr>
          <w:p>
            <w:r>
              <w:rPr>
                <w:rFonts w:ascii="Times New Roman" w:hAnsi="Times New Roman"/>
                <w:sz w:val="22"/>
              </w:rPr>
              <w:t>3,243,276</w:t>
            </w:r>
          </w:p>
        </w:tc>
      </w:tr>
      <w:tr>
        <w:tc>
          <w:tcPr>
            <w:tcW w:type="dxa" w:w="1872"/>
          </w:tcPr>
          <w:p>
            <w:r>
              <w:rPr>
                <w:rFonts w:ascii="Times New Roman" w:hAnsi="Times New Roman"/>
                <w:sz w:val="22"/>
              </w:rPr>
              <w:t>21–29</w:t>
            </w:r>
          </w:p>
        </w:tc>
        <w:tc>
          <w:tcPr>
            <w:tcW w:type="dxa" w:w="1872"/>
          </w:tcPr>
          <w:p>
            <w:r>
              <w:rPr>
                <w:rFonts w:ascii="Times New Roman" w:hAnsi="Times New Roman"/>
                <w:sz w:val="22"/>
              </w:rPr>
              <w:t>6,071,722</w:t>
            </w:r>
          </w:p>
        </w:tc>
        <w:tc>
          <w:tcPr>
            <w:tcW w:type="dxa" w:w="1872"/>
          </w:tcPr>
          <w:p>
            <w:r>
              <w:rPr>
                <w:rFonts w:ascii="Times New Roman" w:hAnsi="Times New Roman"/>
                <w:sz w:val="22"/>
              </w:rPr>
              <w:t>2,236,077</w:t>
            </w:r>
          </w:p>
        </w:tc>
        <w:tc>
          <w:tcPr>
            <w:tcW w:type="dxa" w:w="1872"/>
          </w:tcPr>
          <w:p>
            <w:r>
              <w:rPr>
                <w:rFonts w:ascii="Times New Roman" w:hAnsi="Times New Roman"/>
                <w:sz w:val="22"/>
              </w:rPr>
              <w:t>2,282,067</w:t>
            </w:r>
          </w:p>
        </w:tc>
        <w:tc>
          <w:tcPr>
            <w:tcW w:type="dxa" w:w="1872"/>
          </w:tcPr>
          <w:p>
            <w:r>
              <w:rPr>
                <w:rFonts w:ascii="Times New Roman" w:hAnsi="Times New Roman"/>
                <w:sz w:val="22"/>
              </w:rPr>
              <w:t>10,589,866</w:t>
            </w:r>
          </w:p>
        </w:tc>
      </w:tr>
      <w:tr>
        <w:tc>
          <w:tcPr>
            <w:tcW w:type="dxa" w:w="1872"/>
          </w:tcPr>
          <w:p>
            <w:r>
              <w:rPr>
                <w:rFonts w:ascii="Times New Roman" w:hAnsi="Times New Roman"/>
                <w:sz w:val="22"/>
              </w:rPr>
              <w:t>30+</w:t>
            </w:r>
          </w:p>
        </w:tc>
        <w:tc>
          <w:tcPr>
            <w:tcW w:type="dxa" w:w="1872"/>
          </w:tcPr>
          <w:p>
            <w:r>
              <w:rPr>
                <w:rFonts w:ascii="Times New Roman" w:hAnsi="Times New Roman"/>
                <w:sz w:val="22"/>
              </w:rPr>
              <w:t>13,392,373</w:t>
            </w:r>
          </w:p>
        </w:tc>
        <w:tc>
          <w:tcPr>
            <w:tcW w:type="dxa" w:w="1872"/>
          </w:tcPr>
          <w:p>
            <w:r>
              <w:rPr>
                <w:rFonts w:ascii="Times New Roman" w:hAnsi="Times New Roman"/>
                <w:sz w:val="22"/>
              </w:rPr>
              <w:t>2,492,521</w:t>
            </w:r>
          </w:p>
        </w:tc>
        <w:tc>
          <w:tcPr>
            <w:tcW w:type="dxa" w:w="1872"/>
          </w:tcPr>
          <w:p>
            <w:r>
              <w:rPr>
                <w:rFonts w:ascii="Times New Roman" w:hAnsi="Times New Roman"/>
                <w:sz w:val="22"/>
              </w:rPr>
              <w:t>4,803,683</w:t>
            </w:r>
          </w:p>
        </w:tc>
        <w:tc>
          <w:tcPr>
            <w:tcW w:type="dxa" w:w="1872"/>
          </w:tcPr>
          <w:p>
            <w:r>
              <w:rPr>
                <w:rFonts w:ascii="Times New Roman" w:hAnsi="Times New Roman"/>
                <w:sz w:val="22"/>
              </w:rPr>
              <w:t>20,688,577</w:t>
            </w:r>
          </w:p>
        </w:tc>
      </w:tr>
      <w:tr>
        <w:tc>
          <w:tcPr>
            <w:tcW w:type="dxa" w:w="1872"/>
          </w:tcPr>
          <w:p>
            <w:r>
              <w:rPr>
                <w:rFonts w:ascii="Times New Roman" w:hAnsi="Times New Roman"/>
                <w:sz w:val="22"/>
              </w:rPr>
              <w:t>Total</w:t>
            </w:r>
          </w:p>
        </w:tc>
        <w:tc>
          <w:tcPr>
            <w:tcW w:type="dxa" w:w="1872"/>
          </w:tcPr>
          <w:p>
            <w:r>
              <w:rPr>
                <w:rFonts w:ascii="Times New Roman" w:hAnsi="Times New Roman"/>
                <w:sz w:val="22"/>
              </w:rPr>
              <w:t>23,799,577</w:t>
            </w:r>
          </w:p>
        </w:tc>
        <w:tc>
          <w:tcPr>
            <w:tcW w:type="dxa" w:w="1872"/>
          </w:tcPr>
          <w:p>
            <w:r>
              <w:rPr>
                <w:rFonts w:ascii="Times New Roman" w:hAnsi="Times New Roman"/>
                <w:sz w:val="22"/>
              </w:rPr>
              <w:t>7,682,004</w:t>
            </w:r>
          </w:p>
        </w:tc>
        <w:tc>
          <w:tcPr>
            <w:tcW w:type="dxa" w:w="1872"/>
          </w:tcPr>
          <w:p>
            <w:r>
              <w:rPr>
                <w:rFonts w:ascii="Times New Roman" w:hAnsi="Times New Roman"/>
                <w:sz w:val="22"/>
              </w:rPr>
              <w:t>9,562,068</w:t>
            </w:r>
          </w:p>
        </w:tc>
        <w:tc>
          <w:tcPr>
            <w:tcW w:type="dxa" w:w="1872"/>
          </w:tcPr>
          <w:p>
            <w:r>
              <w:rPr>
                <w:rFonts w:ascii="Times New Roman" w:hAnsi="Times New Roman"/>
                <w:sz w:val="22"/>
              </w:rPr>
              <w:t>41,043,649</w:t>
            </w:r>
          </w:p>
        </w:tc>
      </w:tr>
    </w:tbl>
    <w:p/>
    <w:p>
      <w:r>
        <w:rPr>
          <w:b/>
        </w:rPr>
        <w:t>Table 16</w:t>
      </w:r>
    </w:p>
    <w:p>
      <w:r>
        <w:rPr>
          <w:i/>
        </w:rPr>
        <w:t>Supporting table: weighted counts/percentages calculation check (Theft).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94,652</w:t>
            </w:r>
          </w:p>
        </w:tc>
        <w:tc>
          <w:tcPr>
            <w:tcW w:type="dxa" w:w="1872"/>
          </w:tcPr>
          <w:p>
            <w:r>
              <w:rPr>
                <w:rFonts w:ascii="Times New Roman" w:hAnsi="Times New Roman"/>
                <w:sz w:val="22"/>
              </w:rPr>
              <w:t>63,800</w:t>
            </w:r>
          </w:p>
        </w:tc>
        <w:tc>
          <w:tcPr>
            <w:tcW w:type="dxa" w:w="1872"/>
          </w:tcPr>
          <w:p>
            <w:r>
              <w:rPr>
                <w:rFonts w:ascii="Times New Roman" w:hAnsi="Times New Roman"/>
                <w:sz w:val="22"/>
              </w:rPr>
              <w:t>37,855</w:t>
            </w:r>
          </w:p>
        </w:tc>
        <w:tc>
          <w:tcPr>
            <w:tcW w:type="dxa" w:w="1872"/>
          </w:tcPr>
          <w:p>
            <w:r>
              <w:rPr>
                <w:rFonts w:ascii="Times New Roman" w:hAnsi="Times New Roman"/>
                <w:sz w:val="22"/>
              </w:rPr>
              <w:t>196,307</w:t>
            </w:r>
          </w:p>
        </w:tc>
      </w:tr>
      <w:tr>
        <w:tc>
          <w:tcPr>
            <w:tcW w:type="dxa" w:w="1872"/>
          </w:tcPr>
          <w:p>
            <w:r>
              <w:rPr>
                <w:rFonts w:ascii="Times New Roman" w:hAnsi="Times New Roman"/>
                <w:sz w:val="22"/>
              </w:rPr>
              <w:t>12–14</w:t>
            </w:r>
          </w:p>
        </w:tc>
        <w:tc>
          <w:tcPr>
            <w:tcW w:type="dxa" w:w="1872"/>
          </w:tcPr>
          <w:p>
            <w:r>
              <w:rPr>
                <w:rFonts w:ascii="Times New Roman" w:hAnsi="Times New Roman"/>
                <w:sz w:val="22"/>
              </w:rPr>
              <w:t>191,323</w:t>
            </w:r>
          </w:p>
        </w:tc>
        <w:tc>
          <w:tcPr>
            <w:tcW w:type="dxa" w:w="1872"/>
          </w:tcPr>
          <w:p>
            <w:r>
              <w:rPr>
                <w:rFonts w:ascii="Times New Roman" w:hAnsi="Times New Roman"/>
                <w:sz w:val="22"/>
              </w:rPr>
              <w:t>142,773</w:t>
            </w:r>
          </w:p>
        </w:tc>
        <w:tc>
          <w:tcPr>
            <w:tcW w:type="dxa" w:w="1872"/>
          </w:tcPr>
          <w:p>
            <w:r>
              <w:rPr>
                <w:rFonts w:ascii="Times New Roman" w:hAnsi="Times New Roman"/>
                <w:sz w:val="22"/>
              </w:rPr>
              <w:t>117,767</w:t>
            </w:r>
          </w:p>
        </w:tc>
        <w:tc>
          <w:tcPr>
            <w:tcW w:type="dxa" w:w="1872"/>
          </w:tcPr>
          <w:p>
            <w:r>
              <w:rPr>
                <w:rFonts w:ascii="Times New Roman" w:hAnsi="Times New Roman"/>
                <w:sz w:val="22"/>
              </w:rPr>
              <w:t>451,863</w:t>
            </w:r>
          </w:p>
        </w:tc>
      </w:tr>
      <w:tr>
        <w:tc>
          <w:tcPr>
            <w:tcW w:type="dxa" w:w="1872"/>
          </w:tcPr>
          <w:p>
            <w:r>
              <w:rPr>
                <w:rFonts w:ascii="Times New Roman" w:hAnsi="Times New Roman"/>
                <w:sz w:val="22"/>
              </w:rPr>
              <w:t>15–17</w:t>
            </w:r>
          </w:p>
        </w:tc>
        <w:tc>
          <w:tcPr>
            <w:tcW w:type="dxa" w:w="1872"/>
          </w:tcPr>
          <w:p>
            <w:r>
              <w:rPr>
                <w:rFonts w:ascii="Times New Roman" w:hAnsi="Times New Roman"/>
                <w:sz w:val="22"/>
              </w:rPr>
              <w:t>347,811</w:t>
            </w:r>
          </w:p>
        </w:tc>
        <w:tc>
          <w:tcPr>
            <w:tcW w:type="dxa" w:w="1872"/>
          </w:tcPr>
          <w:p>
            <w:r>
              <w:rPr>
                <w:rFonts w:ascii="Times New Roman" w:hAnsi="Times New Roman"/>
                <w:sz w:val="22"/>
              </w:rPr>
              <w:t>265,869</w:t>
            </w:r>
          </w:p>
        </w:tc>
        <w:tc>
          <w:tcPr>
            <w:tcW w:type="dxa" w:w="1872"/>
          </w:tcPr>
          <w:p>
            <w:r>
              <w:rPr>
                <w:rFonts w:ascii="Times New Roman" w:hAnsi="Times New Roman"/>
                <w:sz w:val="22"/>
              </w:rPr>
              <w:t>162,318</w:t>
            </w:r>
          </w:p>
        </w:tc>
        <w:tc>
          <w:tcPr>
            <w:tcW w:type="dxa" w:w="1872"/>
          </w:tcPr>
          <w:p>
            <w:r>
              <w:rPr>
                <w:rFonts w:ascii="Times New Roman" w:hAnsi="Times New Roman"/>
                <w:sz w:val="22"/>
              </w:rPr>
              <w:t>775,998</w:t>
            </w:r>
          </w:p>
        </w:tc>
      </w:tr>
      <w:tr>
        <w:tc>
          <w:tcPr>
            <w:tcW w:type="dxa" w:w="1872"/>
          </w:tcPr>
          <w:p>
            <w:r>
              <w:rPr>
                <w:rFonts w:ascii="Times New Roman" w:hAnsi="Times New Roman"/>
                <w:sz w:val="22"/>
              </w:rPr>
              <w:t>18–20</w:t>
            </w:r>
          </w:p>
        </w:tc>
        <w:tc>
          <w:tcPr>
            <w:tcW w:type="dxa" w:w="1872"/>
          </w:tcPr>
          <w:p>
            <w:r>
              <w:rPr>
                <w:rFonts w:ascii="Times New Roman" w:hAnsi="Times New Roman"/>
                <w:sz w:val="22"/>
              </w:rPr>
              <w:t>426,801</w:t>
            </w:r>
          </w:p>
        </w:tc>
        <w:tc>
          <w:tcPr>
            <w:tcW w:type="dxa" w:w="1872"/>
          </w:tcPr>
          <w:p>
            <w:r>
              <w:rPr>
                <w:rFonts w:ascii="Times New Roman" w:hAnsi="Times New Roman"/>
                <w:sz w:val="22"/>
              </w:rPr>
              <w:t>307,599</w:t>
            </w:r>
          </w:p>
        </w:tc>
        <w:tc>
          <w:tcPr>
            <w:tcW w:type="dxa" w:w="1872"/>
          </w:tcPr>
          <w:p>
            <w:r>
              <w:rPr>
                <w:rFonts w:ascii="Times New Roman" w:hAnsi="Times New Roman"/>
                <w:sz w:val="22"/>
              </w:rPr>
              <w:t>191,934</w:t>
            </w:r>
          </w:p>
        </w:tc>
        <w:tc>
          <w:tcPr>
            <w:tcW w:type="dxa" w:w="1872"/>
          </w:tcPr>
          <w:p>
            <w:r>
              <w:rPr>
                <w:rFonts w:ascii="Times New Roman" w:hAnsi="Times New Roman"/>
                <w:sz w:val="22"/>
              </w:rPr>
              <w:t>926,334</w:t>
            </w:r>
          </w:p>
        </w:tc>
      </w:tr>
      <w:tr>
        <w:tc>
          <w:tcPr>
            <w:tcW w:type="dxa" w:w="1872"/>
          </w:tcPr>
          <w:p>
            <w:r>
              <w:rPr>
                <w:rFonts w:ascii="Times New Roman" w:hAnsi="Times New Roman"/>
                <w:sz w:val="22"/>
              </w:rPr>
              <w:t>21–29</w:t>
            </w:r>
          </w:p>
        </w:tc>
        <w:tc>
          <w:tcPr>
            <w:tcW w:type="dxa" w:w="1872"/>
          </w:tcPr>
          <w:p>
            <w:r>
              <w:rPr>
                <w:rFonts w:ascii="Times New Roman" w:hAnsi="Times New Roman"/>
                <w:sz w:val="22"/>
              </w:rPr>
              <w:t>1,487,140</w:t>
            </w:r>
          </w:p>
        </w:tc>
        <w:tc>
          <w:tcPr>
            <w:tcW w:type="dxa" w:w="1872"/>
          </w:tcPr>
          <w:p>
            <w:r>
              <w:rPr>
                <w:rFonts w:ascii="Times New Roman" w:hAnsi="Times New Roman"/>
                <w:sz w:val="22"/>
              </w:rPr>
              <w:t>678,412</w:t>
            </w:r>
          </w:p>
        </w:tc>
        <w:tc>
          <w:tcPr>
            <w:tcW w:type="dxa" w:w="1872"/>
          </w:tcPr>
          <w:p>
            <w:r>
              <w:rPr>
                <w:rFonts w:ascii="Times New Roman" w:hAnsi="Times New Roman"/>
                <w:sz w:val="22"/>
              </w:rPr>
              <w:t>654,385</w:t>
            </w:r>
          </w:p>
        </w:tc>
        <w:tc>
          <w:tcPr>
            <w:tcW w:type="dxa" w:w="1872"/>
          </w:tcPr>
          <w:p>
            <w:r>
              <w:rPr>
                <w:rFonts w:ascii="Times New Roman" w:hAnsi="Times New Roman"/>
                <w:sz w:val="22"/>
              </w:rPr>
              <w:t>2,819,937</w:t>
            </w:r>
          </w:p>
        </w:tc>
      </w:tr>
      <w:tr>
        <w:tc>
          <w:tcPr>
            <w:tcW w:type="dxa" w:w="1872"/>
          </w:tcPr>
          <w:p>
            <w:r>
              <w:rPr>
                <w:rFonts w:ascii="Times New Roman" w:hAnsi="Times New Roman"/>
                <w:sz w:val="22"/>
              </w:rPr>
              <w:t>30+</w:t>
            </w:r>
          </w:p>
        </w:tc>
        <w:tc>
          <w:tcPr>
            <w:tcW w:type="dxa" w:w="1872"/>
          </w:tcPr>
          <w:p>
            <w:r>
              <w:rPr>
                <w:rFonts w:ascii="Times New Roman" w:hAnsi="Times New Roman"/>
                <w:sz w:val="22"/>
              </w:rPr>
              <w:t>2,548,757</w:t>
            </w:r>
          </w:p>
        </w:tc>
        <w:tc>
          <w:tcPr>
            <w:tcW w:type="dxa" w:w="1872"/>
          </w:tcPr>
          <w:p>
            <w:r>
              <w:rPr>
                <w:rFonts w:ascii="Times New Roman" w:hAnsi="Times New Roman"/>
                <w:sz w:val="22"/>
              </w:rPr>
              <w:t>730,038</w:t>
            </w:r>
          </w:p>
        </w:tc>
        <w:tc>
          <w:tcPr>
            <w:tcW w:type="dxa" w:w="1872"/>
          </w:tcPr>
          <w:p>
            <w:r>
              <w:rPr>
                <w:rFonts w:ascii="Times New Roman" w:hAnsi="Times New Roman"/>
                <w:sz w:val="22"/>
              </w:rPr>
              <w:t>923,686</w:t>
            </w:r>
          </w:p>
        </w:tc>
        <w:tc>
          <w:tcPr>
            <w:tcW w:type="dxa" w:w="1872"/>
          </w:tcPr>
          <w:p>
            <w:r>
              <w:rPr>
                <w:rFonts w:ascii="Times New Roman" w:hAnsi="Times New Roman"/>
                <w:sz w:val="22"/>
              </w:rPr>
              <w:t>4,202,481</w:t>
            </w:r>
          </w:p>
        </w:tc>
      </w:tr>
      <w:tr>
        <w:tc>
          <w:tcPr>
            <w:tcW w:type="dxa" w:w="1872"/>
          </w:tcPr>
          <w:p>
            <w:r>
              <w:rPr>
                <w:rFonts w:ascii="Times New Roman" w:hAnsi="Times New Roman"/>
                <w:sz w:val="22"/>
              </w:rPr>
              <w:t>Total</w:t>
            </w:r>
          </w:p>
        </w:tc>
        <w:tc>
          <w:tcPr>
            <w:tcW w:type="dxa" w:w="1872"/>
          </w:tcPr>
          <w:p>
            <w:r>
              <w:rPr>
                <w:rFonts w:ascii="Times New Roman" w:hAnsi="Times New Roman"/>
                <w:sz w:val="22"/>
              </w:rPr>
              <w:t>5,096,484</w:t>
            </w:r>
          </w:p>
        </w:tc>
        <w:tc>
          <w:tcPr>
            <w:tcW w:type="dxa" w:w="1872"/>
          </w:tcPr>
          <w:p>
            <w:r>
              <w:rPr>
                <w:rFonts w:ascii="Times New Roman" w:hAnsi="Times New Roman"/>
                <w:sz w:val="22"/>
              </w:rPr>
              <w:t>2,188,491</w:t>
            </w:r>
          </w:p>
        </w:tc>
        <w:tc>
          <w:tcPr>
            <w:tcW w:type="dxa" w:w="1872"/>
          </w:tcPr>
          <w:p>
            <w:r>
              <w:rPr>
                <w:rFonts w:ascii="Times New Roman" w:hAnsi="Times New Roman"/>
                <w:sz w:val="22"/>
              </w:rPr>
              <w:t>2,087,945</w:t>
            </w:r>
          </w:p>
        </w:tc>
        <w:tc>
          <w:tcPr>
            <w:tcW w:type="dxa" w:w="1872"/>
          </w:tcPr>
          <w:p>
            <w:r>
              <w:rPr>
                <w:rFonts w:ascii="Times New Roman" w:hAnsi="Times New Roman"/>
                <w:sz w:val="22"/>
              </w:rPr>
              <w:t>9,372,920</w:t>
            </w:r>
          </w:p>
        </w:tc>
      </w:tr>
    </w:tbl>
    <w:p/>
    <w:p>
      <w:r>
        <w:rPr>
          <w:b/>
        </w:rPr>
        <w:t>Table 17</w:t>
      </w:r>
    </w:p>
    <w:p>
      <w:r>
        <w:rPr>
          <w:i/>
        </w:rPr>
        <w:t>Supporting table: weighted counts/percentages calculation check (Violent).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266,509</w:t>
            </w:r>
          </w:p>
        </w:tc>
        <w:tc>
          <w:tcPr>
            <w:tcW w:type="dxa" w:w="1872"/>
          </w:tcPr>
          <w:p>
            <w:r>
              <w:rPr>
                <w:rFonts w:ascii="Times New Roman" w:hAnsi="Times New Roman"/>
                <w:sz w:val="22"/>
              </w:rPr>
              <w:t>144,988</w:t>
            </w:r>
          </w:p>
        </w:tc>
        <w:tc>
          <w:tcPr>
            <w:tcW w:type="dxa" w:w="1872"/>
          </w:tcPr>
          <w:p>
            <w:r>
              <w:rPr>
                <w:rFonts w:ascii="Times New Roman" w:hAnsi="Times New Roman"/>
                <w:sz w:val="22"/>
              </w:rPr>
              <w:t>151,650</w:t>
            </w:r>
          </w:p>
        </w:tc>
        <w:tc>
          <w:tcPr>
            <w:tcW w:type="dxa" w:w="1872"/>
          </w:tcPr>
          <w:p>
            <w:r>
              <w:rPr>
                <w:rFonts w:ascii="Times New Roman" w:hAnsi="Times New Roman"/>
                <w:sz w:val="22"/>
              </w:rPr>
              <w:t>563,147</w:t>
            </w:r>
          </w:p>
        </w:tc>
      </w:tr>
      <w:tr>
        <w:tc>
          <w:tcPr>
            <w:tcW w:type="dxa" w:w="1872"/>
          </w:tcPr>
          <w:p>
            <w:r>
              <w:rPr>
                <w:rFonts w:ascii="Times New Roman" w:hAnsi="Times New Roman"/>
                <w:sz w:val="22"/>
              </w:rPr>
              <w:t>12–14</w:t>
            </w:r>
          </w:p>
        </w:tc>
        <w:tc>
          <w:tcPr>
            <w:tcW w:type="dxa" w:w="1872"/>
          </w:tcPr>
          <w:p>
            <w:r>
              <w:rPr>
                <w:rFonts w:ascii="Times New Roman" w:hAnsi="Times New Roman"/>
                <w:sz w:val="22"/>
              </w:rPr>
              <w:t>968,786</w:t>
            </w:r>
          </w:p>
        </w:tc>
        <w:tc>
          <w:tcPr>
            <w:tcW w:type="dxa" w:w="1872"/>
          </w:tcPr>
          <w:p>
            <w:r>
              <w:rPr>
                <w:rFonts w:ascii="Times New Roman" w:hAnsi="Times New Roman"/>
                <w:sz w:val="22"/>
              </w:rPr>
              <w:t>528,503</w:t>
            </w:r>
          </w:p>
        </w:tc>
        <w:tc>
          <w:tcPr>
            <w:tcW w:type="dxa" w:w="1872"/>
          </w:tcPr>
          <w:p>
            <w:r>
              <w:rPr>
                <w:rFonts w:ascii="Times New Roman" w:hAnsi="Times New Roman"/>
                <w:sz w:val="22"/>
              </w:rPr>
              <w:t>752,933</w:t>
            </w:r>
          </w:p>
        </w:tc>
        <w:tc>
          <w:tcPr>
            <w:tcW w:type="dxa" w:w="1872"/>
          </w:tcPr>
          <w:p>
            <w:r>
              <w:rPr>
                <w:rFonts w:ascii="Times New Roman" w:hAnsi="Times New Roman"/>
                <w:sz w:val="22"/>
              </w:rPr>
              <w:t>2,250,222</w:t>
            </w:r>
          </w:p>
        </w:tc>
      </w:tr>
      <w:tr>
        <w:tc>
          <w:tcPr>
            <w:tcW w:type="dxa" w:w="1872"/>
          </w:tcPr>
          <w:p>
            <w:r>
              <w:rPr>
                <w:rFonts w:ascii="Times New Roman" w:hAnsi="Times New Roman"/>
                <w:sz w:val="22"/>
              </w:rPr>
              <w:t>15–17</w:t>
            </w:r>
          </w:p>
        </w:tc>
        <w:tc>
          <w:tcPr>
            <w:tcW w:type="dxa" w:w="1872"/>
          </w:tcPr>
          <w:p>
            <w:r>
              <w:rPr>
                <w:rFonts w:ascii="Times New Roman" w:hAnsi="Times New Roman"/>
                <w:sz w:val="22"/>
              </w:rPr>
              <w:t>960,010</w:t>
            </w:r>
          </w:p>
        </w:tc>
        <w:tc>
          <w:tcPr>
            <w:tcW w:type="dxa" w:w="1872"/>
          </w:tcPr>
          <w:p>
            <w:r>
              <w:rPr>
                <w:rFonts w:ascii="Times New Roman" w:hAnsi="Times New Roman"/>
                <w:sz w:val="22"/>
              </w:rPr>
              <w:t>731,518</w:t>
            </w:r>
          </w:p>
        </w:tc>
        <w:tc>
          <w:tcPr>
            <w:tcW w:type="dxa" w:w="1872"/>
          </w:tcPr>
          <w:p>
            <w:r>
              <w:rPr>
                <w:rFonts w:ascii="Times New Roman" w:hAnsi="Times New Roman"/>
                <w:sz w:val="22"/>
              </w:rPr>
              <w:t>592,864</w:t>
            </w:r>
          </w:p>
        </w:tc>
        <w:tc>
          <w:tcPr>
            <w:tcW w:type="dxa" w:w="1872"/>
          </w:tcPr>
          <w:p>
            <w:r>
              <w:rPr>
                <w:rFonts w:ascii="Times New Roman" w:hAnsi="Times New Roman"/>
                <w:sz w:val="22"/>
              </w:rPr>
              <w:t>2,284,392</w:t>
            </w:r>
          </w:p>
        </w:tc>
      </w:tr>
      <w:tr>
        <w:tc>
          <w:tcPr>
            <w:tcW w:type="dxa" w:w="1872"/>
          </w:tcPr>
          <w:p>
            <w:r>
              <w:rPr>
                <w:rFonts w:ascii="Times New Roman" w:hAnsi="Times New Roman"/>
                <w:sz w:val="22"/>
              </w:rPr>
              <w:t>18–20</w:t>
            </w:r>
          </w:p>
        </w:tc>
        <w:tc>
          <w:tcPr>
            <w:tcW w:type="dxa" w:w="1872"/>
          </w:tcPr>
          <w:p>
            <w:r>
              <w:rPr>
                <w:rFonts w:ascii="Times New Roman" w:hAnsi="Times New Roman"/>
                <w:sz w:val="22"/>
              </w:rPr>
              <w:t>1,079,591</w:t>
            </w:r>
          </w:p>
        </w:tc>
        <w:tc>
          <w:tcPr>
            <w:tcW w:type="dxa" w:w="1872"/>
          </w:tcPr>
          <w:p>
            <w:r>
              <w:rPr>
                <w:rFonts w:ascii="Times New Roman" w:hAnsi="Times New Roman"/>
                <w:sz w:val="22"/>
              </w:rPr>
              <w:t>768,354</w:t>
            </w:r>
          </w:p>
        </w:tc>
        <w:tc>
          <w:tcPr>
            <w:tcW w:type="dxa" w:w="1872"/>
          </w:tcPr>
          <w:p>
            <w:r>
              <w:rPr>
                <w:rFonts w:ascii="Times New Roman" w:hAnsi="Times New Roman"/>
                <w:sz w:val="22"/>
              </w:rPr>
              <w:t>468,996</w:t>
            </w:r>
          </w:p>
        </w:tc>
        <w:tc>
          <w:tcPr>
            <w:tcW w:type="dxa" w:w="1872"/>
          </w:tcPr>
          <w:p>
            <w:r>
              <w:rPr>
                <w:rFonts w:ascii="Times New Roman" w:hAnsi="Times New Roman"/>
                <w:sz w:val="22"/>
              </w:rPr>
              <w:t>2,316,941</w:t>
            </w:r>
          </w:p>
        </w:tc>
      </w:tr>
      <w:tr>
        <w:tc>
          <w:tcPr>
            <w:tcW w:type="dxa" w:w="1872"/>
          </w:tcPr>
          <w:p>
            <w:r>
              <w:rPr>
                <w:rFonts w:ascii="Times New Roman" w:hAnsi="Times New Roman"/>
                <w:sz w:val="22"/>
              </w:rPr>
              <w:t>21–29</w:t>
            </w:r>
          </w:p>
        </w:tc>
        <w:tc>
          <w:tcPr>
            <w:tcW w:type="dxa" w:w="1872"/>
          </w:tcPr>
          <w:p>
            <w:r>
              <w:rPr>
                <w:rFonts w:ascii="Times New Roman" w:hAnsi="Times New Roman"/>
                <w:sz w:val="22"/>
              </w:rPr>
              <w:t>4,584,582</w:t>
            </w:r>
          </w:p>
        </w:tc>
        <w:tc>
          <w:tcPr>
            <w:tcW w:type="dxa" w:w="1872"/>
          </w:tcPr>
          <w:p>
            <w:r>
              <w:rPr>
                <w:rFonts w:ascii="Times New Roman" w:hAnsi="Times New Roman"/>
                <w:sz w:val="22"/>
              </w:rPr>
              <w:t>1,557,665</w:t>
            </w:r>
          </w:p>
        </w:tc>
        <w:tc>
          <w:tcPr>
            <w:tcW w:type="dxa" w:w="1872"/>
          </w:tcPr>
          <w:p>
            <w:r>
              <w:rPr>
                <w:rFonts w:ascii="Times New Roman" w:hAnsi="Times New Roman"/>
                <w:sz w:val="22"/>
              </w:rPr>
              <w:t>1,627,682</w:t>
            </w:r>
          </w:p>
        </w:tc>
        <w:tc>
          <w:tcPr>
            <w:tcW w:type="dxa" w:w="1872"/>
          </w:tcPr>
          <w:p>
            <w:r>
              <w:rPr>
                <w:rFonts w:ascii="Times New Roman" w:hAnsi="Times New Roman"/>
                <w:sz w:val="22"/>
              </w:rPr>
              <w:t>7,769,929</w:t>
            </w:r>
          </w:p>
        </w:tc>
      </w:tr>
      <w:tr>
        <w:tc>
          <w:tcPr>
            <w:tcW w:type="dxa" w:w="1872"/>
          </w:tcPr>
          <w:p>
            <w:r>
              <w:rPr>
                <w:rFonts w:ascii="Times New Roman" w:hAnsi="Times New Roman"/>
                <w:sz w:val="22"/>
              </w:rPr>
              <w:t>30+</w:t>
            </w:r>
          </w:p>
        </w:tc>
        <w:tc>
          <w:tcPr>
            <w:tcW w:type="dxa" w:w="1872"/>
          </w:tcPr>
          <w:p>
            <w:r>
              <w:rPr>
                <w:rFonts w:ascii="Times New Roman" w:hAnsi="Times New Roman"/>
                <w:sz w:val="22"/>
              </w:rPr>
              <w:t>10,843,616</w:t>
            </w:r>
          </w:p>
        </w:tc>
        <w:tc>
          <w:tcPr>
            <w:tcW w:type="dxa" w:w="1872"/>
          </w:tcPr>
          <w:p>
            <w:r>
              <w:rPr>
                <w:rFonts w:ascii="Times New Roman" w:hAnsi="Times New Roman"/>
                <w:sz w:val="22"/>
              </w:rPr>
              <w:t>1,762,483</w:t>
            </w:r>
          </w:p>
        </w:tc>
        <w:tc>
          <w:tcPr>
            <w:tcW w:type="dxa" w:w="1872"/>
          </w:tcPr>
          <w:p>
            <w:r>
              <w:rPr>
                <w:rFonts w:ascii="Times New Roman" w:hAnsi="Times New Roman"/>
                <w:sz w:val="22"/>
              </w:rPr>
              <w:t>3,879,997</w:t>
            </w:r>
          </w:p>
        </w:tc>
        <w:tc>
          <w:tcPr>
            <w:tcW w:type="dxa" w:w="1872"/>
          </w:tcPr>
          <w:p>
            <w:r>
              <w:rPr>
                <w:rFonts w:ascii="Times New Roman" w:hAnsi="Times New Roman"/>
                <w:sz w:val="22"/>
              </w:rPr>
              <w:t>16,486,096</w:t>
            </w:r>
          </w:p>
        </w:tc>
      </w:tr>
      <w:tr>
        <w:tc>
          <w:tcPr>
            <w:tcW w:type="dxa" w:w="1872"/>
          </w:tcPr>
          <w:p>
            <w:r>
              <w:rPr>
                <w:rFonts w:ascii="Times New Roman" w:hAnsi="Times New Roman"/>
                <w:sz w:val="22"/>
              </w:rPr>
              <w:t>Total</w:t>
            </w:r>
          </w:p>
        </w:tc>
        <w:tc>
          <w:tcPr>
            <w:tcW w:type="dxa" w:w="1872"/>
          </w:tcPr>
          <w:p>
            <w:r>
              <w:rPr>
                <w:rFonts w:ascii="Times New Roman" w:hAnsi="Times New Roman"/>
                <w:sz w:val="22"/>
              </w:rPr>
              <w:t>18,703,094</w:t>
            </w:r>
          </w:p>
        </w:tc>
        <w:tc>
          <w:tcPr>
            <w:tcW w:type="dxa" w:w="1872"/>
          </w:tcPr>
          <w:p>
            <w:r>
              <w:rPr>
                <w:rFonts w:ascii="Times New Roman" w:hAnsi="Times New Roman"/>
                <w:sz w:val="22"/>
              </w:rPr>
              <w:t>5,493,511</w:t>
            </w:r>
          </w:p>
        </w:tc>
        <w:tc>
          <w:tcPr>
            <w:tcW w:type="dxa" w:w="1872"/>
          </w:tcPr>
          <w:p>
            <w:r>
              <w:rPr>
                <w:rFonts w:ascii="Times New Roman" w:hAnsi="Times New Roman"/>
                <w:sz w:val="22"/>
              </w:rPr>
              <w:t>7,474,122</w:t>
            </w:r>
          </w:p>
        </w:tc>
        <w:tc>
          <w:tcPr>
            <w:tcW w:type="dxa" w:w="1872"/>
          </w:tcPr>
          <w:p>
            <w:r>
              <w:rPr>
                <w:rFonts w:ascii="Times New Roman" w:hAnsi="Times New Roman"/>
                <w:sz w:val="22"/>
              </w:rPr>
              <w:t>31,670,727</w:t>
            </w:r>
          </w:p>
        </w:tc>
      </w:tr>
    </w:tbl>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2026-02-09T01:57:22Z</dcterms:created>
  <dcterms:modified xsi:type="dcterms:W3CDTF">2026-02-09T01:57:22Z</dcterms:modified>
</cp:coreProperties>
</file>

<file path=docProps/custom.xml><?xml version="1.0" encoding="utf-8"?>
<Properties xmlns="http://schemas.openxmlformats.org/officeDocument/2006/custom-properties" xmlns:vt="http://schemas.openxmlformats.org/officeDocument/2006/docPropsVTypes"/>
</file>