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NCVS — APA Tables (weighted descriptives)</w:t>
      </w:r>
    </w:p>
    <w:p/>
    <w:p>
      <w:r>
        <w:rPr>
          <w:b/>
        </w:rPr>
        <w:t>Table 1</w:t>
      </w:r>
    </w:p>
    <w:p>
      <w:r>
        <w:rPr>
          <w:i/>
        </w:rPr>
        <w:t>Weighted distribution of incident social context by age group (primary definition: Alone vs Group vs Observed).</w:t>
      </w:r>
    </w:p>
    <w:p>
      <w:r>
        <w:rPr>
          <w:b/>
        </w:rPr>
        <w:t>Total incidents.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 Group</w:t>
            </w:r>
          </w:p>
        </w:tc>
        <w:tc>
          <w:tcPr>
            <w:tcW w:type="dxa" w:w="2160"/>
          </w:tcPr>
          <w:p>
            <w:r>
              <w:t>Alone (%)</w:t>
            </w:r>
          </w:p>
        </w:tc>
        <w:tc>
          <w:tcPr>
            <w:tcW w:type="dxa" w:w="2160"/>
          </w:tcPr>
          <w:p>
            <w:r>
              <w:t>Group (%)</w:t>
            </w:r>
          </w:p>
        </w:tc>
        <w:tc>
          <w:tcPr>
            <w:tcW w:type="dxa" w:w="2160"/>
          </w:tcPr>
          <w:p>
            <w:r>
              <w:t>Observed (%)</w:t>
            </w:r>
          </w:p>
        </w:tc>
      </w:tr>
      <w:tr>
        <w:tc>
          <w:tcPr>
            <w:tcW w:type="dxa" w:w="2160"/>
          </w:tcPr>
          <w:p>
            <w:r>
              <w:t>under_12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27.5%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12-14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24.8%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</w:tr>
      <w:tr>
        <w:tc>
          <w:tcPr>
            <w:tcW w:type="dxa" w:w="2160"/>
          </w:tcPr>
          <w:p>
            <w:r>
              <w:t>15-17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24.7%</w:t>
            </w:r>
          </w:p>
        </w:tc>
      </w:tr>
      <w:tr>
        <w:tc>
          <w:tcPr>
            <w:tcW w:type="dxa" w:w="2160"/>
          </w:tcPr>
          <w:p>
            <w:r>
              <w:t>18-20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  <w:tc>
          <w:tcPr>
            <w:tcW w:type="dxa" w:w="2160"/>
          </w:tcPr>
          <w:p>
            <w:r>
              <w:t>20.4%</w:t>
            </w:r>
          </w:p>
        </w:tc>
      </w:tr>
      <w:tr>
        <w:tc>
          <w:tcPr>
            <w:tcW w:type="dxa" w:w="2160"/>
          </w:tcPr>
          <w:p>
            <w:r>
              <w:t>21-29</w:t>
            </w:r>
          </w:p>
        </w:tc>
        <w:tc>
          <w:tcPr>
            <w:tcW w:type="dxa" w:w="2160"/>
          </w:tcPr>
          <w:p>
            <w:r>
              <w:t>57.3%</w:t>
            </w:r>
          </w:p>
        </w:tc>
        <w:tc>
          <w:tcPr>
            <w:tcW w:type="dxa" w:w="2160"/>
          </w:tcPr>
          <w:p>
            <w:r>
              <w:t>21.1%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</w:tr>
      <w:tr>
        <w:tc>
          <w:tcPr>
            <w:tcW w:type="dxa" w:w="2160"/>
          </w:tcPr>
          <w:p>
            <w:r>
              <w:t>30+</w:t>
            </w:r>
          </w:p>
        </w:tc>
        <w:tc>
          <w:tcPr>
            <w:tcW w:type="dxa" w:w="2160"/>
          </w:tcPr>
          <w:p>
            <w:r>
              <w:t>64.7%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23.2%</w:t>
            </w:r>
          </w:p>
        </w:tc>
      </w:tr>
    </w:tbl>
    <w:p/>
    <w:p>
      <w:r>
        <w:rPr>
          <w:b/>
        </w:rPr>
        <w:t>Theft incidents.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 Group</w:t>
            </w:r>
          </w:p>
        </w:tc>
        <w:tc>
          <w:tcPr>
            <w:tcW w:type="dxa" w:w="2160"/>
          </w:tcPr>
          <w:p>
            <w:r>
              <w:t>Alone (%)</w:t>
            </w:r>
          </w:p>
        </w:tc>
        <w:tc>
          <w:tcPr>
            <w:tcW w:type="dxa" w:w="2160"/>
          </w:tcPr>
          <w:p>
            <w:r>
              <w:t>Group (%)</w:t>
            </w:r>
          </w:p>
        </w:tc>
        <w:tc>
          <w:tcPr>
            <w:tcW w:type="dxa" w:w="2160"/>
          </w:tcPr>
          <w:p>
            <w:r>
              <w:t>Observed (%)</w:t>
            </w:r>
          </w:p>
        </w:tc>
      </w:tr>
      <w:tr>
        <w:tc>
          <w:tcPr>
            <w:tcW w:type="dxa" w:w="2160"/>
          </w:tcPr>
          <w:p>
            <w:r>
              <w:t>under_12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19.3%</w:t>
            </w:r>
          </w:p>
        </w:tc>
      </w:tr>
      <w:tr>
        <w:tc>
          <w:tcPr>
            <w:tcW w:type="dxa" w:w="2160"/>
          </w:tcPr>
          <w:p>
            <w:r>
              <w:t>12-14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26.1%</w:t>
            </w:r>
          </w:p>
        </w:tc>
      </w:tr>
      <w:tr>
        <w:tc>
          <w:tcPr>
            <w:tcW w:type="dxa" w:w="2160"/>
          </w:tcPr>
          <w:p>
            <w:r>
              <w:t>15-17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34.3%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</w:tr>
      <w:tr>
        <w:tc>
          <w:tcPr>
            <w:tcW w:type="dxa" w:w="2160"/>
          </w:tcPr>
          <w:p>
            <w:r>
              <w:t>18-20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</w:tr>
      <w:tr>
        <w:tc>
          <w:tcPr>
            <w:tcW w:type="dxa" w:w="2160"/>
          </w:tcPr>
          <w:p>
            <w:r>
              <w:t>21-29</w:t>
            </w:r>
          </w:p>
        </w:tc>
        <w:tc>
          <w:tcPr>
            <w:tcW w:type="dxa" w:w="2160"/>
          </w:tcPr>
          <w:p>
            <w:r>
              <w:t>52.7%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23.2%</w:t>
            </w:r>
          </w:p>
        </w:tc>
      </w:tr>
      <w:tr>
        <w:tc>
          <w:tcPr>
            <w:tcW w:type="dxa" w:w="2160"/>
          </w:tcPr>
          <w:p>
            <w:r>
              <w:t>30+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17.4%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/>
    <w:p>
      <w:r>
        <w:rPr>
          <w:b/>
        </w:rPr>
        <w:t>Violent incidents.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 Group</w:t>
            </w:r>
          </w:p>
        </w:tc>
        <w:tc>
          <w:tcPr>
            <w:tcW w:type="dxa" w:w="2160"/>
          </w:tcPr>
          <w:p>
            <w:r>
              <w:t>Alone (%)</w:t>
            </w:r>
          </w:p>
        </w:tc>
        <w:tc>
          <w:tcPr>
            <w:tcW w:type="dxa" w:w="2160"/>
          </w:tcPr>
          <w:p>
            <w:r>
              <w:t>Group (%)</w:t>
            </w:r>
          </w:p>
        </w:tc>
        <w:tc>
          <w:tcPr>
            <w:tcW w:type="dxa" w:w="2160"/>
          </w:tcPr>
          <w:p>
            <w:r>
              <w:t>Observed (%)</w:t>
            </w:r>
          </w:p>
        </w:tc>
      </w:tr>
      <w:tr>
        <w:tc>
          <w:tcPr>
            <w:tcW w:type="dxa" w:w="2160"/>
          </w:tcPr>
          <w:p>
            <w:r>
              <w:t>under_12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25.7%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</w:tr>
      <w:tr>
        <w:tc>
          <w:tcPr>
            <w:tcW w:type="dxa" w:w="2160"/>
          </w:tcPr>
          <w:p>
            <w:r>
              <w:t>12-14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23.5%</w:t>
            </w:r>
          </w:p>
        </w:tc>
        <w:tc>
          <w:tcPr>
            <w:tcW w:type="dxa" w:w="2160"/>
          </w:tcPr>
          <w:p>
            <w:r>
              <w:t>33.5%</w:t>
            </w:r>
          </w:p>
        </w:tc>
      </w:tr>
      <w:tr>
        <w:tc>
          <w:tcPr>
            <w:tcW w:type="dxa" w:w="2160"/>
          </w:tcPr>
          <w:p>
            <w:r>
              <w:t>15-17</w:t>
            </w:r>
          </w:p>
        </w:tc>
        <w:tc>
          <w:tcPr>
            <w:tcW w:type="dxa" w:w="2160"/>
          </w:tcPr>
          <w:p>
            <w:r>
              <w:t>42%</w:t>
            </w:r>
          </w:p>
        </w:tc>
        <w:tc>
          <w:tcPr>
            <w:tcW w:type="dxa" w:w="2160"/>
          </w:tcPr>
          <w:p>
            <w:r>
              <w:t>32%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18-20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  <w:tc>
          <w:tcPr>
            <w:tcW w:type="dxa" w:w="2160"/>
          </w:tcPr>
          <w:p>
            <w:r>
              <w:t>20.2%</w:t>
            </w:r>
          </w:p>
        </w:tc>
      </w:tr>
      <w:tr>
        <w:tc>
          <w:tcPr>
            <w:tcW w:type="dxa" w:w="2160"/>
          </w:tcPr>
          <w:p>
            <w:r>
              <w:t>21-29</w:t>
            </w:r>
          </w:p>
        </w:tc>
        <w:tc>
          <w:tcPr>
            <w:tcW w:type="dxa" w:w="2160"/>
          </w:tcPr>
          <w:p>
            <w:r>
              <w:t>59%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</w:tr>
      <w:tr>
        <w:tc>
          <w:tcPr>
            <w:tcW w:type="dxa" w:w="2160"/>
          </w:tcPr>
          <w:p>
            <w:r>
              <w:t>30+</w:t>
            </w:r>
          </w:p>
        </w:tc>
        <w:tc>
          <w:tcPr>
            <w:tcW w:type="dxa" w:w="2160"/>
          </w:tcPr>
          <w:p>
            <w:r>
              <w:t>65.8%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23.5%</w:t>
            </w:r>
          </w:p>
        </w:tc>
      </w:tr>
    </w:tbl>
    <w:p/>
    <w:p>
      <w:r>
        <w:rPr>
          <w:i/>
        </w:rPr>
        <w:t>Note. “Social” in the narrative results is computed as Group + Observed (i.e., 100% − Alone). Percentages are design-weighted.</w:t>
      </w:r>
    </w:p>
    <w:p/>
    <w:p>
      <w:r>
        <w:rPr>
          <w:b/>
        </w:rPr>
        <w:t>Table 2</w:t>
      </w:r>
    </w:p>
    <w:p>
      <w:r>
        <w:rPr>
          <w:i/>
        </w:rPr>
        <w:t>Weighted distribution of incident social context by age group (backup definition: co-offending only; Alone vs Group).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age_group</w:t>
            </w:r>
          </w:p>
        </w:tc>
        <w:tc>
          <w:tcPr>
            <w:tcW w:type="dxa" w:w="2880"/>
          </w:tcPr>
          <w:p>
            <w:r>
              <w:t>alone</w:t>
            </w:r>
          </w:p>
        </w:tc>
        <w:tc>
          <w:tcPr>
            <w:tcW w:type="dxa" w:w="2880"/>
          </w:tcPr>
          <w:p>
            <w:r>
              <w:t>group</w:t>
            </w:r>
          </w:p>
        </w:tc>
      </w:tr>
      <w:tr>
        <w:tc>
          <w:tcPr>
            <w:tcW w:type="dxa" w:w="2880"/>
          </w:tcPr>
          <w:p>
            <w:r>
              <w:t>Under 12</w:t>
            </w:r>
          </w:p>
        </w:tc>
        <w:tc>
          <w:tcPr>
            <w:tcW w:type="dxa" w:w="2880"/>
          </w:tcPr>
          <w:p>
            <w:r>
              <w:t>72.86</w:t>
            </w:r>
          </w:p>
        </w:tc>
        <w:tc>
          <w:tcPr>
            <w:tcW w:type="dxa" w:w="2880"/>
          </w:tcPr>
          <w:p>
            <w:r>
              <w:t>27.14</w:t>
            </w:r>
          </w:p>
        </w:tc>
      </w:tr>
      <w:tr>
        <w:tc>
          <w:tcPr>
            <w:tcW w:type="dxa" w:w="2880"/>
          </w:tcPr>
          <w:p>
            <w:r>
              <w:t>12–14</w:t>
            </w:r>
          </w:p>
        </w:tc>
        <w:tc>
          <w:tcPr>
            <w:tcW w:type="dxa" w:w="2880"/>
          </w:tcPr>
          <w:p>
            <w:r>
              <w:t>75.28</w:t>
            </w:r>
          </w:p>
        </w:tc>
        <w:tc>
          <w:tcPr>
            <w:tcW w:type="dxa" w:w="2880"/>
          </w:tcPr>
          <w:p>
            <w:r>
              <w:t>24.72</w:t>
            </w:r>
          </w:p>
        </w:tc>
      </w:tr>
      <w:tr>
        <w:tc>
          <w:tcPr>
            <w:tcW w:type="dxa" w:w="2880"/>
          </w:tcPr>
          <w:p>
            <w:r>
              <w:t>15–17</w:t>
            </w:r>
          </w:p>
        </w:tc>
        <w:tc>
          <w:tcPr>
            <w:tcW w:type="dxa" w:w="2880"/>
          </w:tcPr>
          <w:p>
            <w:r>
              <w:t>68.22</w:t>
            </w:r>
          </w:p>
        </w:tc>
        <w:tc>
          <w:tcPr>
            <w:tcW w:type="dxa" w:w="2880"/>
          </w:tcPr>
          <w:p>
            <w:r>
              <w:t>31.78</w:t>
            </w:r>
          </w:p>
        </w:tc>
      </w:tr>
      <w:tr>
        <w:tc>
          <w:tcPr>
            <w:tcW w:type="dxa" w:w="2880"/>
          </w:tcPr>
          <w:p>
            <w:r>
              <w:t>18–20</w:t>
            </w:r>
          </w:p>
        </w:tc>
        <w:tc>
          <w:tcPr>
            <w:tcW w:type="dxa" w:w="2880"/>
          </w:tcPr>
          <w:p>
            <w:r>
              <w:t>67.59</w:t>
            </w:r>
          </w:p>
        </w:tc>
        <w:tc>
          <w:tcPr>
            <w:tcW w:type="dxa" w:w="2880"/>
          </w:tcPr>
          <w:p>
            <w:r>
              <w:t>32.41</w:t>
            </w:r>
          </w:p>
        </w:tc>
      </w:tr>
      <w:tr>
        <w:tc>
          <w:tcPr>
            <w:tcW w:type="dxa" w:w="2880"/>
          </w:tcPr>
          <w:p>
            <w:r>
              <w:t>21–29</w:t>
            </w:r>
          </w:p>
        </w:tc>
        <w:tc>
          <w:tcPr>
            <w:tcW w:type="dxa" w:w="2880"/>
          </w:tcPr>
          <w:p>
            <w:r>
              <w:t>79.79</w:t>
            </w:r>
          </w:p>
        </w:tc>
        <w:tc>
          <w:tcPr>
            <w:tcW w:type="dxa" w:w="2880"/>
          </w:tcPr>
          <w:p>
            <w:r>
              <w:t>20.21</w:t>
            </w:r>
          </w:p>
        </w:tc>
      </w:tr>
      <w:tr>
        <w:tc>
          <w:tcPr>
            <w:tcW w:type="dxa" w:w="2880"/>
          </w:tcPr>
          <w:p>
            <w:r>
              <w:t>30+</w:t>
            </w:r>
          </w:p>
        </w:tc>
        <w:tc>
          <w:tcPr>
            <w:tcW w:type="dxa" w:w="2880"/>
          </w:tcPr>
          <w:p>
            <w:r>
              <w:t>87.95</w:t>
            </w:r>
          </w:p>
        </w:tc>
        <w:tc>
          <w:tcPr>
            <w:tcW w:type="dxa" w:w="2880"/>
          </w:tcPr>
          <w:p>
            <w:r>
              <w:t>12.05</w:t>
            </w:r>
          </w:p>
        </w:tc>
      </w:tr>
    </w:tbl>
    <w:p>
      <w:r>
        <w:rPr>
          <w:i/>
        </w:rPr>
        <w:t>Note. Backup operationalization removes the “Observed” category and treats all non-co-offending incidents as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