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context of the incident (primary definition)</w:t></w:r></w:p><w:p><w:pPr><w:pStyle w:val="BodyText"/></w:pPr><w:r><w:t xml:space="preserve">We operationalized incident social context in two steps. First, we defined a three-level measure of incident social context: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context,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offending that treats Observed crime incidents as solo. For this sensitivity analysis, Social context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(Tables S5–S6).</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context (co-offenses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w:r></w:p><w:p><w:pPr><w:spacing w:after="0"/></w:pPr><w:r><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w:r></w:p><w:p><w:pPr><w:spacing w:after="0"/></w:pPr><w:r><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w:r></w:p><w:p><w:pPr><w:spacing w:after="0"/></w:pPr><w:r><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context by age group and crime type (primary definition: Solo, Co-offense, Observed; Social = Co-offense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w:t></w:r></w:p><w:p><w:pPr><w:pStyle w:val="Heading2"/></w:pPr><w:r><w:t>Figures</w:t></w:r></w:p><w:p><w:r><w:rPr><w:b/></w:rPr><w:t>Figure 1. Predicted probability of social context (co-offense + observed)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context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 + observed):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