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(Non-Group Offending by Age Group)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(15–17)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2025-05-16T19:43:20Z</dcterms:modified>
  <cp:category/>
</cp:coreProperties>
</file>