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Logistic Regression: Odds of Solo Offending (Reference = Age 12–14)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1242"/>
        <w:gridCol w:w="1230"/>
        <w:gridCol w:w="1144"/>
        <w:gridCol w:w="1120"/>
        <w:gridCol w:w="1218"/>
        <w:gridCol w:w="1304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conf.high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(12–14)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2025-05-30T18:44:59Z</dcterms:modified>
  <cp:category/>
</cp:coreProperties>
</file>