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Proportion of Crime Types by Age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034"/>
        <w:gridCol w:w="1034"/>
        <w:gridCol w:w="1316"/>
      </w:tblGrid>
      <w:tr>
        <w:trPr>
          <w:trHeight w:val="57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Alone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Observed (%)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18.6%</w:t>
            </w:r>
          </w:p>
        </w:tc>
      </w:tr>
      <w:tr>
        <w:trPr>
          <w:trHeight w:val="56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29.9%</w:t>
            </w:r>
          </w:p>
        </w:tc>
      </w:tr>
      <w:tr>
        <w:trPr>
          <w:trHeight w:val="56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24.8%</w:t>
            </w:r>
          </w:p>
        </w:tc>
      </w:tr>
      <w:tr>
        <w:trPr>
          <w:trHeight w:val="57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19.3%</w:t>
            </w:r>
          </w:p>
        </w:tc>
      </w:tr>
      <w:tr>
        <w:trPr>
          <w:trHeight w:val="56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22.9%</w:t>
            </w:r>
          </w:p>
        </w:tc>
      </w:tr>
      <w:tr>
        <w:trPr>
          <w:trHeight w:val="569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64.3%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24.1%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2025-05-30T18:44:59Z</dcterms:modified>
  <cp:category/>
</cp:coreProperties>
</file>