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Rao–Scott F-Adjusted Tests of Solo Crime Differences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58"/>
        <w:gridCol w:w="1780"/>
        <w:gridCol w:w="1328"/>
        <w:gridCol w:w="729"/>
        <w:gridCol w:w="1084"/>
        <w:gridCol w:w="175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(Rao–Scott)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(Bonferroni)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108.075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4.499887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0.1107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0.3741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0.8295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2025-06-08T17:38:33Z</dcterms:modified>
  <cp:category/>
</cp:coreProperties>
</file>