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Proportion of Crime Types by Age Group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034"/>
        <w:gridCol w:w="1034"/>
        <w:gridCol w:w="1316"/>
      </w:tblGrid>
      <w:tr>
        <w:trPr>
          <w:trHeight w:val="57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 (%)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24.7%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21.5%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23.2%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2025-06-08T17:37:40Z</dcterms:modified>
  <cp:category/>
</cp:coreProperties>
</file>