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Weighted Distribution of Crime Involvement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512"/>
        <w:gridCol w:w="1389"/>
        <w:gridCol w:w="1389"/>
        <w:gridCol w:w="1512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361,160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208,788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189,505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759,453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1,160,109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671,277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870,701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2,702,087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1,307,821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997,387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755,182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3,060,390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1,506,392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1,075,954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660,930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3,243,276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6,071,722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2,236,077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2,282,067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10,589,866</w:t>
            </w:r>
          </w:p>
        </w:tc>
      </w:tr>
      <w:tr>
        <w:trPr>
          <w:trHeight w:val="59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13,392,373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2,492,521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4,803,683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20,688,577</w:t>
            </w:r>
          </w:p>
        </w:tc>
      </w:tr>
      <w:tr>
        <w:trPr>
          <w:trHeight w:val="598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23,799,577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7,682,004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9,562,068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41,043,649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2025-06-08T17:36:59Z</dcterms:modified>
  <cp:category/>
</cp:coreProperties>
</file>