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2"/>
      </w:pPr>
      <w:r>
        <w:t xml:space="preserve">Table X. Rao–Scott Chi-Square Tests of Solo Crime by Age Group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658"/>
        <w:gridCol w:w="1658"/>
        <w:gridCol w:w="1927"/>
        <w:gridCol w:w="1573"/>
        <w:gridCol w:w="729"/>
        <w:gridCol w:w="533"/>
        <w:gridCol w:w="1756"/>
      </w:tblGrid>
      <w:tr>
        <w:trPr>
          <w:trHeight w:val="621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Age Group 1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Age Group 2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Chi-Square (χ²)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df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Phi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 (Bonferroni)</w:t>
            </w:r>
          </w:p>
        </w:tc>
      </w:tr>
      <w:tr>
        <w:trPr>
          <w:trHeight w:val="573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ALL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vs. all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124.581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3.025211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3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ALL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vs. all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124.581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481.008597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7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under_12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12-14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7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under_12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12-14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159.000000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7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under_12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15-17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7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under_12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15-17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159.000000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7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under_12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18-20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7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under_12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18-20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159.000000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7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under_12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21-29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7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under_12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21-29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159.000000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7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under_12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30+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7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under_12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30+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159.000000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69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12-14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15-17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69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12-14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15-17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159.000000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69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12-14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18-20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69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12-14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18-20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159.000000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69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12-14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21-29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69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12-14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21-29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159.000000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69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12-14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30+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69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12-14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30+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159.000000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69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15-17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18-20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69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15-17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18-20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159.000000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69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15-17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21-29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69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15-17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21-29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159.000000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69" w:hRule="auto"/>
        </w:trPr>
        body25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15-17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30+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69" w:hRule="auto"/>
        </w:trPr>
        body26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15-17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30+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159.000000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69" w:hRule="auto"/>
        </w:trPr>
        body27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18-20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21-29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69" w:hRule="auto"/>
        </w:trPr>
        body28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18-20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21-29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159.000000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69" w:hRule="auto"/>
        </w:trPr>
        body29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18-20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30+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69" w:hRule="auto"/>
        </w:trPr>
        body30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18-20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30+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159.000000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69" w:hRule="auto"/>
        </w:trPr>
        body31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21-29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30+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69" w:hRule="auto"/>
        </w:trPr>
        body32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21-29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30+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159.000000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</w:tbl>
    <w:sectPr w:officer="true">
      <w:pgMar w:header="720" w:bottom="1440" w:top="1440" w:right="1440" w:left="1440" w:footer="720" w:gutter="720"/>
      <w:pgSz w:h="16848" w:w="11952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dannyzweben</cp:lastModifiedBy>
  <cp:revision>9</cp:revision>
  <dcterms:created xsi:type="dcterms:W3CDTF">2017-02-28T11:18:00Z</dcterms:created>
  <dcterms:modified xsi:type="dcterms:W3CDTF">2025-05-30T19:27:22Z</dcterms:modified>
  <cp:category/>
</cp:coreProperties>
</file>