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Logistic Regression Results (Solo Offending by Age Group, Centered on 18–20)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(18–20)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</w:tr>
      <w:tr>
        <w:trPr>
          <w:trHeight w:val="61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</w:tr>
      <w:tr>
        <w:trPr>
          <w:trHeight w:val="61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2025-06-08T22:52:33Z</dcterms:modified>
  <cp:category/>
</cp:coreProperties>
</file>