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Proportion of Crime Types by Age Group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034"/>
        <w:gridCol w:w="1034"/>
        <w:gridCol w:w="1316"/>
      </w:tblGrid>
      <w:tr>
        <w:trPr>
          <w:trHeight w:val="57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 (%)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19.3%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20.9%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20.7%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23.2%</w:t>
            </w:r>
          </w:p>
        </w:tc>
      </w:tr>
      <w:tr>
        <w:trPr>
          <w:trHeight w:val="56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22%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2025-06-08T22:52:27Z</dcterms:modified>
  <cp:category/>
</cp:coreProperties>
</file>