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Proportion of Crime Types by Age Group (Weighted)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034"/>
        <w:gridCol w:w="1034"/>
        <w:gridCol w:w="1316"/>
      </w:tblGrid>
      <w:tr>
        <w:trPr>
          <w:trHeight w:val="57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Alone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Observed (%)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47.3%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25.7%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26.9%</w:t>
            </w:r>
          </w:p>
        </w:tc>
      </w:tr>
      <w:tr>
        <w:trPr>
          <w:trHeight w:val="56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33.5%</w:t>
            </w:r>
          </w:p>
        </w:tc>
      </w:tr>
      <w:tr>
        <w:trPr>
          <w:trHeight w:val="56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26%</w:t>
            </w:r>
          </w:p>
        </w:tc>
      </w:tr>
      <w:tr>
        <w:trPr>
          <w:trHeight w:val="56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20.2%</w:t>
            </w:r>
          </w:p>
        </w:tc>
      </w:tr>
      <w:tr>
        <w:trPr>
          <w:trHeight w:val="56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20.9%</w:t>
            </w:r>
          </w:p>
        </w:tc>
      </w:tr>
      <w:tr>
        <w:trPr>
          <w:trHeight w:val="57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65.8%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23.5%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2025-06-08T22:40:09Z</dcterms:modified>
  <cp:category/>
</cp:coreProperties>
</file>