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75F50" w14:textId="77777777" w:rsidR="00146793" w:rsidRDefault="00146793" w:rsidP="006572B1">
      <w:pPr>
        <w:ind w:left="720" w:hanging="360"/>
      </w:pPr>
    </w:p>
    <w:p w14:paraId="012D8668" w14:textId="49DAC4D8" w:rsidR="00146793" w:rsidRDefault="00146793" w:rsidP="006572B1">
      <w:pPr>
        <w:pStyle w:val="ListParagraph"/>
        <w:numPr>
          <w:ilvl w:val="0"/>
          <w:numId w:val="48"/>
        </w:numPr>
        <w:rPr>
          <w:rFonts w:eastAsiaTheme="minorHAnsi"/>
          <w:b/>
          <w:bCs/>
        </w:rPr>
      </w:pPr>
      <w:r>
        <w:rPr>
          <w:rFonts w:eastAsiaTheme="minorHAnsi"/>
          <w:b/>
          <w:bCs/>
        </w:rPr>
        <w:t xml:space="preserve">Hypotheses: </w:t>
      </w:r>
      <w:r>
        <w:rPr>
          <w:rFonts w:eastAsiaTheme="minorHAnsi"/>
          <w:b/>
          <w:bCs/>
        </w:rPr>
        <w:br/>
      </w:r>
    </w:p>
    <w:p w14:paraId="41F88C93" w14:textId="77777777" w:rsidR="00146793" w:rsidRDefault="00146793" w:rsidP="00146793">
      <w:pPr>
        <w:pStyle w:val="NormalWeb"/>
        <w:ind w:left="720"/>
      </w:pPr>
      <w:r>
        <w:t>We predict that greater digital immersion, smartphone use, and addiction will relate to poorer executive functioning, with sleep and body health mediating these links, and sleep moderating associations such that effects are stronger among poor sleepers.</w:t>
      </w:r>
    </w:p>
    <w:p w14:paraId="6ABE5658" w14:textId="77777777" w:rsidR="00146793" w:rsidRPr="00146793" w:rsidRDefault="00146793" w:rsidP="00146793">
      <w:pPr>
        <w:ind w:left="360"/>
        <w:rPr>
          <w:rFonts w:eastAsiaTheme="minorHAnsi"/>
          <w:b/>
          <w:bCs/>
        </w:rPr>
      </w:pPr>
    </w:p>
    <w:p w14:paraId="1FA6F763" w14:textId="77777777" w:rsidR="00146793" w:rsidRPr="00146793" w:rsidRDefault="00146793" w:rsidP="00146793">
      <w:pPr>
        <w:pStyle w:val="ListParagraph"/>
        <w:rPr>
          <w:rFonts w:eastAsiaTheme="minorHAnsi"/>
          <w:b/>
          <w:bCs/>
        </w:rPr>
      </w:pPr>
    </w:p>
    <w:p w14:paraId="44888662" w14:textId="7C6DE995" w:rsidR="00966BDC" w:rsidRPr="006572B1" w:rsidRDefault="00966BDC" w:rsidP="006572B1">
      <w:pPr>
        <w:pStyle w:val="ListParagraph"/>
        <w:numPr>
          <w:ilvl w:val="0"/>
          <w:numId w:val="48"/>
        </w:numPr>
        <w:rPr>
          <w:rFonts w:eastAsiaTheme="minorHAnsi"/>
          <w:b/>
          <w:bCs/>
        </w:rPr>
      </w:pPr>
      <w:r w:rsidRPr="006572B1">
        <w:rPr>
          <w:rFonts w:eastAsiaTheme="minorHAnsi"/>
          <w:b/>
          <w:bCs/>
        </w:rPr>
        <w:t>Correlation of all data</w:t>
      </w:r>
    </w:p>
    <w:p w14:paraId="284929A8" w14:textId="7B435F55" w:rsidR="00A9575E" w:rsidRDefault="00A9575E" w:rsidP="008B1BEE">
      <w:pPr>
        <w:rPr>
          <w:rFonts w:ascii="Source Sans Pro" w:hAnsi="Source Sans Pro"/>
          <w:color w:val="000000"/>
          <w:sz w:val="23"/>
          <w:szCs w:val="23"/>
          <w:shd w:val="clear" w:color="auto" w:fill="FFFFFF"/>
        </w:rPr>
      </w:pPr>
    </w:p>
    <w:p w14:paraId="53A4F4B7" w14:textId="35BA33B1" w:rsidR="00A9575E" w:rsidRDefault="00A9575E" w:rsidP="008B1BEE">
      <w:pPr>
        <w:rPr>
          <w:rFonts w:ascii="Source Sans Pro" w:hAnsi="Source Sans Pro"/>
          <w:color w:val="000000"/>
          <w:sz w:val="23"/>
          <w:szCs w:val="23"/>
          <w:shd w:val="clear" w:color="auto" w:fill="FFFFFF"/>
        </w:rPr>
      </w:pPr>
    </w:p>
    <w:p w14:paraId="472B86AB" w14:textId="0D143446" w:rsidR="00A9575E" w:rsidRDefault="00A9575E" w:rsidP="008B1BEE">
      <w:pPr>
        <w:rPr>
          <w:rFonts w:ascii="Source Sans Pro" w:hAnsi="Source Sans Pro"/>
          <w:color w:val="000000"/>
          <w:sz w:val="23"/>
          <w:szCs w:val="23"/>
          <w:shd w:val="clear" w:color="auto" w:fill="FFFFFF"/>
        </w:rPr>
      </w:pPr>
    </w:p>
    <w:p w14:paraId="6951B99A" w14:textId="17F4FA2C" w:rsidR="00A9575E" w:rsidRDefault="00A9575E" w:rsidP="008B1BEE">
      <w:pPr>
        <w:rPr>
          <w:rFonts w:ascii="Source Sans Pro" w:hAnsi="Source Sans Pro"/>
          <w:color w:val="000000"/>
          <w:sz w:val="23"/>
          <w:szCs w:val="23"/>
          <w:shd w:val="clear" w:color="auto" w:fill="FFFFFF"/>
        </w:rPr>
      </w:pPr>
    </w:p>
    <w:p w14:paraId="36D4E59A" w14:textId="5E9BE6D5" w:rsidR="00A9575E" w:rsidRDefault="00F4443A" w:rsidP="008B1BEE">
      <w:pPr>
        <w:rPr>
          <w:rFonts w:ascii="Source Sans Pro" w:hAnsi="Source Sans Pro"/>
          <w:color w:val="000000"/>
          <w:sz w:val="23"/>
          <w:szCs w:val="23"/>
          <w:shd w:val="clear" w:color="auto" w:fill="FFFFFF"/>
        </w:rPr>
      </w:pPr>
      <w:r>
        <w:rPr>
          <w:rFonts w:ascii="Source Sans Pro" w:hAnsi="Source Sans Pro"/>
          <w:noProof/>
          <w:color w:val="000000"/>
          <w:sz w:val="23"/>
          <w:szCs w:val="23"/>
          <w:shd w:val="clear" w:color="auto" w:fill="FFFFFF"/>
          <w14:ligatures w14:val="standardContextual"/>
        </w:rPr>
        <w:drawing>
          <wp:inline distT="0" distB="0" distL="0" distR="0" wp14:anchorId="1DF36008" wp14:editId="40309648">
            <wp:extent cx="6062254" cy="2782111"/>
            <wp:effectExtent l="0" t="0" r="0" b="0"/>
            <wp:docPr id="822093418" name="Picture 2"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93418" name="Picture 2" descr="A screenshot of a tab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118777" cy="2808051"/>
                    </a:xfrm>
                    <a:prstGeom prst="rect">
                      <a:avLst/>
                    </a:prstGeom>
                  </pic:spPr>
                </pic:pic>
              </a:graphicData>
            </a:graphic>
          </wp:inline>
        </w:drawing>
      </w:r>
    </w:p>
    <w:p w14:paraId="608DC2FA" w14:textId="77777777" w:rsidR="00A9575E" w:rsidRDefault="00A9575E" w:rsidP="008B1BEE">
      <w:pPr>
        <w:rPr>
          <w:rFonts w:ascii="Source Sans Pro" w:hAnsi="Source Sans Pro"/>
          <w:color w:val="000000"/>
          <w:sz w:val="23"/>
          <w:szCs w:val="23"/>
          <w:shd w:val="clear" w:color="auto" w:fill="FFFFFF"/>
        </w:rPr>
      </w:pPr>
    </w:p>
    <w:p w14:paraId="2AF11A44" w14:textId="77777777" w:rsidR="00A9575E" w:rsidRDefault="00A9575E" w:rsidP="008B1BEE">
      <w:pPr>
        <w:rPr>
          <w:rFonts w:ascii="Source Sans Pro" w:hAnsi="Source Sans Pro"/>
          <w:color w:val="000000"/>
          <w:sz w:val="23"/>
          <w:szCs w:val="23"/>
          <w:shd w:val="clear" w:color="auto" w:fill="FFFFFF"/>
        </w:rPr>
      </w:pPr>
    </w:p>
    <w:p w14:paraId="77C43CF9" w14:textId="37F8A633" w:rsidR="00A9575E" w:rsidRDefault="00F75CEA" w:rsidP="008B1BEE">
      <w:pPr>
        <w:rPr>
          <w:rFonts w:ascii="Source Sans Pro" w:hAnsi="Source Sans Pro"/>
          <w:color w:val="000000"/>
          <w:sz w:val="23"/>
          <w:szCs w:val="23"/>
          <w:shd w:val="clear" w:color="auto" w:fill="FFFFFF"/>
        </w:rPr>
      </w:pPr>
      <w:r>
        <w:t>Greater digital immersion, smartphone addiction, and objective use were each linked to higher impulsivity. Digital immersion and SAS also predicted poorer sleep and body health, while only objective use was associated with worse attention (Go/No-Go). None showed relationships with Flanker or TEXI-based executive functioning.</w:t>
      </w:r>
    </w:p>
    <w:p w14:paraId="2DA04DE0" w14:textId="5C639441" w:rsidR="00802D44" w:rsidRDefault="00966BDC" w:rsidP="008B1BEE">
      <w:pPr>
        <w:rPr>
          <w:rFonts w:eastAsiaTheme="minorHAnsi"/>
          <w:b/>
          <w:bCs/>
        </w:rPr>
      </w:pPr>
      <w:r>
        <w:rPr>
          <w:rFonts w:eastAsiaTheme="minorHAnsi"/>
          <w:b/>
          <w:bCs/>
        </w:rPr>
        <w:br/>
      </w:r>
    </w:p>
    <w:p w14:paraId="45E3F308" w14:textId="51683A4A" w:rsidR="00966BDC" w:rsidRPr="006572B1" w:rsidRDefault="00146793" w:rsidP="006572B1">
      <w:pPr>
        <w:pStyle w:val="ListParagraph"/>
        <w:numPr>
          <w:ilvl w:val="0"/>
          <w:numId w:val="48"/>
        </w:numPr>
        <w:rPr>
          <w:rFonts w:eastAsiaTheme="minorHAnsi"/>
        </w:rPr>
      </w:pPr>
      <w:r>
        <w:rPr>
          <w:rFonts w:eastAsiaTheme="minorHAnsi"/>
          <w:b/>
          <w:bCs/>
        </w:rPr>
        <w:t>Mediation</w:t>
      </w:r>
    </w:p>
    <w:p w14:paraId="330F62D0" w14:textId="77777777" w:rsidR="006572B1" w:rsidRDefault="006572B1" w:rsidP="006572B1">
      <w:pPr>
        <w:rPr>
          <w:rFonts w:eastAsiaTheme="minorHAnsi"/>
        </w:rPr>
      </w:pPr>
    </w:p>
    <w:p w14:paraId="79AF379C" w14:textId="18C8300F" w:rsidR="00966BDC" w:rsidRDefault="00966BDC" w:rsidP="008B1BEE">
      <w:pPr>
        <w:rPr>
          <w:rFonts w:eastAsiaTheme="minorHAnsi"/>
        </w:rPr>
      </w:pPr>
    </w:p>
    <w:p w14:paraId="4DF7A4EE" w14:textId="4C639A1A" w:rsidR="00966BDC" w:rsidRDefault="00966BDC" w:rsidP="008B1BEE">
      <w:pPr>
        <w:rPr>
          <w:rFonts w:eastAsiaTheme="minorHAnsi"/>
        </w:rPr>
      </w:pPr>
    </w:p>
    <w:p w14:paraId="3A44D28A" w14:textId="77777777" w:rsidR="00BA3210" w:rsidRDefault="00BA3210" w:rsidP="008B1BEE">
      <w:pPr>
        <w:rPr>
          <w:rFonts w:eastAsiaTheme="minorHAnsi"/>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6"/>
        <w:gridCol w:w="2182"/>
        <w:gridCol w:w="2086"/>
        <w:gridCol w:w="1269"/>
        <w:gridCol w:w="1647"/>
      </w:tblGrid>
      <w:tr w:rsidR="00BA3210" w14:paraId="76CDA972" w14:textId="77777777" w:rsidTr="00BA3210">
        <w:trPr>
          <w:tblHeader/>
          <w:tblCellSpacing w:w="15" w:type="dxa"/>
        </w:trPr>
        <w:tc>
          <w:tcPr>
            <w:tcW w:w="0" w:type="auto"/>
            <w:vAlign w:val="center"/>
            <w:hideMark/>
          </w:tcPr>
          <w:p w14:paraId="112B12C4" w14:textId="77777777" w:rsidR="00BA3210" w:rsidRDefault="00BA3210">
            <w:pPr>
              <w:jc w:val="center"/>
              <w:rPr>
                <w:b/>
                <w:bCs/>
              </w:rPr>
            </w:pPr>
            <w:r>
              <w:rPr>
                <w:b/>
                <w:bCs/>
              </w:rPr>
              <w:lastRenderedPageBreak/>
              <w:t>Mediation Path</w:t>
            </w:r>
          </w:p>
        </w:tc>
        <w:tc>
          <w:tcPr>
            <w:tcW w:w="0" w:type="auto"/>
            <w:vAlign w:val="center"/>
            <w:hideMark/>
          </w:tcPr>
          <w:p w14:paraId="3C7BA838" w14:textId="77777777" w:rsidR="00BA3210" w:rsidRDefault="00BA3210">
            <w:pPr>
              <w:jc w:val="center"/>
              <w:rPr>
                <w:b/>
                <w:bCs/>
              </w:rPr>
            </w:pPr>
            <w:r>
              <w:rPr>
                <w:b/>
                <w:bCs/>
              </w:rPr>
              <w:t>ACME (95% CI), p</w:t>
            </w:r>
          </w:p>
        </w:tc>
        <w:tc>
          <w:tcPr>
            <w:tcW w:w="0" w:type="auto"/>
            <w:vAlign w:val="center"/>
            <w:hideMark/>
          </w:tcPr>
          <w:p w14:paraId="6EF13CF7" w14:textId="77777777" w:rsidR="00BA3210" w:rsidRDefault="00BA3210">
            <w:pPr>
              <w:jc w:val="center"/>
              <w:rPr>
                <w:b/>
                <w:bCs/>
              </w:rPr>
            </w:pPr>
            <w:r>
              <w:rPr>
                <w:b/>
                <w:bCs/>
              </w:rPr>
              <w:t>ADE (95% CI), p</w:t>
            </w:r>
          </w:p>
        </w:tc>
        <w:tc>
          <w:tcPr>
            <w:tcW w:w="0" w:type="auto"/>
            <w:vAlign w:val="center"/>
            <w:hideMark/>
          </w:tcPr>
          <w:p w14:paraId="37BCBAA7" w14:textId="77777777" w:rsidR="00BA3210" w:rsidRDefault="00BA3210">
            <w:pPr>
              <w:jc w:val="center"/>
              <w:rPr>
                <w:b/>
                <w:bCs/>
              </w:rPr>
            </w:pPr>
            <w:r>
              <w:rPr>
                <w:b/>
                <w:bCs/>
              </w:rPr>
              <w:t>Total Effect, p</w:t>
            </w:r>
          </w:p>
        </w:tc>
        <w:tc>
          <w:tcPr>
            <w:tcW w:w="0" w:type="auto"/>
            <w:vAlign w:val="center"/>
            <w:hideMark/>
          </w:tcPr>
          <w:p w14:paraId="5E517A4C" w14:textId="77777777" w:rsidR="00BA3210" w:rsidRDefault="00BA3210">
            <w:pPr>
              <w:jc w:val="center"/>
              <w:rPr>
                <w:b/>
                <w:bCs/>
              </w:rPr>
            </w:pPr>
            <w:r>
              <w:rPr>
                <w:b/>
                <w:bCs/>
              </w:rPr>
              <w:t>Prop. Mediated, p</w:t>
            </w:r>
          </w:p>
        </w:tc>
      </w:tr>
      <w:tr w:rsidR="00BA3210" w14:paraId="50F3C771" w14:textId="77777777" w:rsidTr="00BA3210">
        <w:trPr>
          <w:tblCellSpacing w:w="15" w:type="dxa"/>
        </w:trPr>
        <w:tc>
          <w:tcPr>
            <w:tcW w:w="0" w:type="auto"/>
            <w:vAlign w:val="center"/>
            <w:hideMark/>
          </w:tcPr>
          <w:p w14:paraId="4AEA7393" w14:textId="77777777" w:rsidR="00BA3210" w:rsidRDefault="00BA3210">
            <w:r>
              <w:t>Screen → Sleep → Barretts</w:t>
            </w:r>
          </w:p>
        </w:tc>
        <w:tc>
          <w:tcPr>
            <w:tcW w:w="0" w:type="auto"/>
            <w:vAlign w:val="center"/>
            <w:hideMark/>
          </w:tcPr>
          <w:p w14:paraId="1F609D4E" w14:textId="77777777" w:rsidR="00BA3210" w:rsidRDefault="00BA3210">
            <w:r>
              <w:t>–0.079 (–0.157, –0.020), .010</w:t>
            </w:r>
          </w:p>
        </w:tc>
        <w:tc>
          <w:tcPr>
            <w:tcW w:w="0" w:type="auto"/>
            <w:vAlign w:val="center"/>
            <w:hideMark/>
          </w:tcPr>
          <w:p w14:paraId="587F7713" w14:textId="77777777" w:rsidR="00BA3210" w:rsidRDefault="00BA3210">
            <w:r>
              <w:t>–0.050 (–0.172, 0.070), .404</w:t>
            </w:r>
          </w:p>
        </w:tc>
        <w:tc>
          <w:tcPr>
            <w:tcW w:w="0" w:type="auto"/>
            <w:vAlign w:val="center"/>
            <w:hideMark/>
          </w:tcPr>
          <w:p w14:paraId="2D080785" w14:textId="77777777" w:rsidR="00BA3210" w:rsidRDefault="00BA3210">
            <w:r>
              <w:t>–0.129, .064</w:t>
            </w:r>
          </w:p>
        </w:tc>
        <w:tc>
          <w:tcPr>
            <w:tcW w:w="0" w:type="auto"/>
            <w:vAlign w:val="center"/>
            <w:hideMark/>
          </w:tcPr>
          <w:p w14:paraId="28153735" w14:textId="77777777" w:rsidR="00BA3210" w:rsidRDefault="00BA3210">
            <w:r>
              <w:t>0.61, .066</w:t>
            </w:r>
          </w:p>
        </w:tc>
      </w:tr>
      <w:tr w:rsidR="00BA3210" w14:paraId="5685433D" w14:textId="77777777" w:rsidTr="00BA3210">
        <w:trPr>
          <w:tblCellSpacing w:w="15" w:type="dxa"/>
        </w:trPr>
        <w:tc>
          <w:tcPr>
            <w:tcW w:w="0" w:type="auto"/>
            <w:vAlign w:val="center"/>
            <w:hideMark/>
          </w:tcPr>
          <w:p w14:paraId="33371610" w14:textId="77777777" w:rsidR="00BA3210" w:rsidRDefault="00BA3210">
            <w:r>
              <w:t>Screen → Sleep → TEXI</w:t>
            </w:r>
          </w:p>
        </w:tc>
        <w:tc>
          <w:tcPr>
            <w:tcW w:w="0" w:type="auto"/>
            <w:vAlign w:val="center"/>
            <w:hideMark/>
          </w:tcPr>
          <w:p w14:paraId="63563FBF" w14:textId="77777777" w:rsidR="00BA3210" w:rsidRDefault="00BA3210">
            <w:r>
              <w:t>–0.090 (–0.169, –0.020), .016</w:t>
            </w:r>
          </w:p>
        </w:tc>
        <w:tc>
          <w:tcPr>
            <w:tcW w:w="0" w:type="auto"/>
            <w:vAlign w:val="center"/>
            <w:hideMark/>
          </w:tcPr>
          <w:p w14:paraId="7ED87DB7" w14:textId="77777777" w:rsidR="00BA3210" w:rsidRDefault="00BA3210">
            <w:r>
              <w:t>0.079 (–0.052, 0.220), .242</w:t>
            </w:r>
          </w:p>
        </w:tc>
        <w:tc>
          <w:tcPr>
            <w:tcW w:w="0" w:type="auto"/>
            <w:vAlign w:val="center"/>
            <w:hideMark/>
          </w:tcPr>
          <w:p w14:paraId="525BD4EF" w14:textId="77777777" w:rsidR="00BA3210" w:rsidRDefault="00BA3210">
            <w:r>
              <w:t>–0.010, .906</w:t>
            </w:r>
          </w:p>
        </w:tc>
        <w:tc>
          <w:tcPr>
            <w:tcW w:w="0" w:type="auto"/>
            <w:vAlign w:val="center"/>
            <w:hideMark/>
          </w:tcPr>
          <w:p w14:paraId="2804AD9E" w14:textId="77777777" w:rsidR="00BA3210" w:rsidRDefault="00BA3210">
            <w:r>
              <w:t>8.61, .890</w:t>
            </w:r>
          </w:p>
        </w:tc>
      </w:tr>
      <w:tr w:rsidR="00BA3210" w14:paraId="085D826E" w14:textId="77777777" w:rsidTr="00BA3210">
        <w:trPr>
          <w:tblCellSpacing w:w="15" w:type="dxa"/>
        </w:trPr>
        <w:tc>
          <w:tcPr>
            <w:tcW w:w="0" w:type="auto"/>
            <w:vAlign w:val="center"/>
            <w:hideMark/>
          </w:tcPr>
          <w:p w14:paraId="517167E1" w14:textId="77777777" w:rsidR="00BA3210" w:rsidRDefault="00BA3210">
            <w:r>
              <w:t>Screen → Body → Barretts</w:t>
            </w:r>
          </w:p>
        </w:tc>
        <w:tc>
          <w:tcPr>
            <w:tcW w:w="0" w:type="auto"/>
            <w:vAlign w:val="center"/>
            <w:hideMark/>
          </w:tcPr>
          <w:p w14:paraId="06AB1216" w14:textId="77777777" w:rsidR="00BA3210" w:rsidRDefault="00BA3210">
            <w:r>
              <w:t>–0.025 (–0.071, 0.010), .210</w:t>
            </w:r>
          </w:p>
        </w:tc>
        <w:tc>
          <w:tcPr>
            <w:tcW w:w="0" w:type="auto"/>
            <w:vAlign w:val="center"/>
            <w:hideMark/>
          </w:tcPr>
          <w:p w14:paraId="6BE18652" w14:textId="77777777" w:rsidR="00BA3210" w:rsidRDefault="00BA3210">
            <w:r>
              <w:t>–0.101 (–0.226, 0.030), .130</w:t>
            </w:r>
          </w:p>
        </w:tc>
        <w:tc>
          <w:tcPr>
            <w:tcW w:w="0" w:type="auto"/>
            <w:vAlign w:val="center"/>
            <w:hideMark/>
          </w:tcPr>
          <w:p w14:paraId="45EAD7B2" w14:textId="77777777" w:rsidR="00BA3210" w:rsidRDefault="00BA3210">
            <w:r>
              <w:t>–0.126, .050</w:t>
            </w:r>
          </w:p>
        </w:tc>
        <w:tc>
          <w:tcPr>
            <w:tcW w:w="0" w:type="auto"/>
            <w:vAlign w:val="center"/>
            <w:hideMark/>
          </w:tcPr>
          <w:p w14:paraId="5D61B4AF" w14:textId="77777777" w:rsidR="00BA3210" w:rsidRDefault="00BA3210">
            <w:r>
              <w:t>0.20, .260</w:t>
            </w:r>
          </w:p>
        </w:tc>
      </w:tr>
      <w:tr w:rsidR="00BA3210" w14:paraId="1CF62861" w14:textId="77777777" w:rsidTr="00BA3210">
        <w:trPr>
          <w:tblCellSpacing w:w="15" w:type="dxa"/>
        </w:trPr>
        <w:tc>
          <w:tcPr>
            <w:tcW w:w="0" w:type="auto"/>
            <w:vAlign w:val="center"/>
            <w:hideMark/>
          </w:tcPr>
          <w:p w14:paraId="06617C2C" w14:textId="77777777" w:rsidR="00BA3210" w:rsidRDefault="00BA3210">
            <w:r>
              <w:t>Screen → Body → TEXI</w:t>
            </w:r>
          </w:p>
        </w:tc>
        <w:tc>
          <w:tcPr>
            <w:tcW w:w="0" w:type="auto"/>
            <w:vAlign w:val="center"/>
            <w:hideMark/>
          </w:tcPr>
          <w:p w14:paraId="64E55F07" w14:textId="77777777" w:rsidR="00BA3210" w:rsidRDefault="00BA3210">
            <w:r>
              <w:t>–0.038 (–0.087, 0.000), .060</w:t>
            </w:r>
          </w:p>
        </w:tc>
        <w:tc>
          <w:tcPr>
            <w:tcW w:w="0" w:type="auto"/>
            <w:vAlign w:val="center"/>
            <w:hideMark/>
          </w:tcPr>
          <w:p w14:paraId="4E7B6E7A" w14:textId="77777777" w:rsidR="00BA3210" w:rsidRDefault="00BA3210">
            <w:r>
              <w:t>0.029 (–0.113, 0.180), .750</w:t>
            </w:r>
          </w:p>
        </w:tc>
        <w:tc>
          <w:tcPr>
            <w:tcW w:w="0" w:type="auto"/>
            <w:vAlign w:val="center"/>
            <w:hideMark/>
          </w:tcPr>
          <w:p w14:paraId="704A1D7A" w14:textId="77777777" w:rsidR="00BA3210" w:rsidRDefault="00BA3210">
            <w:r>
              <w:t>–0.009, .880</w:t>
            </w:r>
          </w:p>
        </w:tc>
        <w:tc>
          <w:tcPr>
            <w:tcW w:w="0" w:type="auto"/>
            <w:vAlign w:val="center"/>
            <w:hideMark/>
          </w:tcPr>
          <w:p w14:paraId="6659C562" w14:textId="77777777" w:rsidR="00BA3210" w:rsidRDefault="00BA3210">
            <w:r>
              <w:t>4.24, .890</w:t>
            </w:r>
          </w:p>
        </w:tc>
      </w:tr>
    </w:tbl>
    <w:p w14:paraId="2B8BC581" w14:textId="77777777" w:rsidR="00BA3210" w:rsidRDefault="00BA3210" w:rsidP="008B1BEE">
      <w:pPr>
        <w:rPr>
          <w:rFonts w:eastAsiaTheme="minorHAnsi"/>
        </w:rPr>
      </w:pPr>
    </w:p>
    <w:p w14:paraId="180D658D" w14:textId="51DD43B4" w:rsidR="00966BDC" w:rsidRDefault="00BA3210" w:rsidP="008B1BEE">
      <w:pPr>
        <w:rPr>
          <w:rFonts w:eastAsiaTheme="minorHAnsi"/>
        </w:rPr>
      </w:pPr>
      <w:r>
        <w:rPr>
          <w:rFonts w:eastAsiaTheme="minorHAnsi"/>
        </w:rPr>
        <w:t xml:space="preserve">Or </w:t>
      </w:r>
      <w:r>
        <w:rPr>
          <w:rFonts w:eastAsiaTheme="minorHAnsi"/>
        </w:rPr>
        <w:br/>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1"/>
        <w:gridCol w:w="1409"/>
        <w:gridCol w:w="1046"/>
        <w:gridCol w:w="1292"/>
        <w:gridCol w:w="820"/>
        <w:gridCol w:w="1053"/>
        <w:gridCol w:w="1739"/>
      </w:tblGrid>
      <w:tr w:rsidR="00BA3210" w14:paraId="67AEA9CD" w14:textId="77777777" w:rsidTr="00BA3210">
        <w:trPr>
          <w:tblHeader/>
          <w:tblCellSpacing w:w="15" w:type="dxa"/>
        </w:trPr>
        <w:tc>
          <w:tcPr>
            <w:tcW w:w="0" w:type="auto"/>
            <w:vAlign w:val="center"/>
            <w:hideMark/>
          </w:tcPr>
          <w:p w14:paraId="1D185E89" w14:textId="77777777" w:rsidR="00BA3210" w:rsidRDefault="00BA3210">
            <w:pPr>
              <w:jc w:val="center"/>
              <w:rPr>
                <w:b/>
                <w:bCs/>
              </w:rPr>
            </w:pPr>
            <w:r>
              <w:rPr>
                <w:b/>
                <w:bCs/>
              </w:rPr>
              <w:t>Mediation Path</w:t>
            </w:r>
          </w:p>
        </w:tc>
        <w:tc>
          <w:tcPr>
            <w:tcW w:w="0" w:type="auto"/>
            <w:vAlign w:val="center"/>
            <w:hideMark/>
          </w:tcPr>
          <w:p w14:paraId="4AEF6A3C" w14:textId="77777777" w:rsidR="00BA3210" w:rsidRDefault="00BA3210">
            <w:pPr>
              <w:jc w:val="center"/>
              <w:rPr>
                <w:b/>
                <w:bCs/>
              </w:rPr>
            </w:pPr>
            <w:r>
              <w:rPr>
                <w:b/>
                <w:bCs/>
              </w:rPr>
              <w:t>ACME (95% CI)</w:t>
            </w:r>
          </w:p>
        </w:tc>
        <w:tc>
          <w:tcPr>
            <w:tcW w:w="0" w:type="auto"/>
            <w:vAlign w:val="center"/>
            <w:hideMark/>
          </w:tcPr>
          <w:p w14:paraId="5DCB700A" w14:textId="77777777" w:rsidR="00BA3210" w:rsidRDefault="00BA3210">
            <w:pPr>
              <w:jc w:val="center"/>
              <w:rPr>
                <w:b/>
                <w:bCs/>
              </w:rPr>
            </w:pPr>
            <w:r>
              <w:rPr>
                <w:b/>
                <w:bCs/>
              </w:rPr>
              <w:t>p (ACME)</w:t>
            </w:r>
          </w:p>
        </w:tc>
        <w:tc>
          <w:tcPr>
            <w:tcW w:w="0" w:type="auto"/>
            <w:vAlign w:val="center"/>
            <w:hideMark/>
          </w:tcPr>
          <w:p w14:paraId="60960D37" w14:textId="77777777" w:rsidR="00BA3210" w:rsidRDefault="00BA3210">
            <w:pPr>
              <w:jc w:val="center"/>
              <w:rPr>
                <w:b/>
                <w:bCs/>
              </w:rPr>
            </w:pPr>
            <w:r>
              <w:rPr>
                <w:b/>
                <w:bCs/>
              </w:rPr>
              <w:t>ADE (95% CI)</w:t>
            </w:r>
          </w:p>
        </w:tc>
        <w:tc>
          <w:tcPr>
            <w:tcW w:w="0" w:type="auto"/>
            <w:vAlign w:val="center"/>
            <w:hideMark/>
          </w:tcPr>
          <w:p w14:paraId="7785F229" w14:textId="77777777" w:rsidR="00BA3210" w:rsidRDefault="00BA3210">
            <w:pPr>
              <w:jc w:val="center"/>
              <w:rPr>
                <w:b/>
                <w:bCs/>
              </w:rPr>
            </w:pPr>
            <w:r>
              <w:rPr>
                <w:b/>
                <w:bCs/>
              </w:rPr>
              <w:t>p (ADE)</w:t>
            </w:r>
          </w:p>
        </w:tc>
        <w:tc>
          <w:tcPr>
            <w:tcW w:w="0" w:type="auto"/>
            <w:vAlign w:val="center"/>
            <w:hideMark/>
          </w:tcPr>
          <w:p w14:paraId="68A80069" w14:textId="77777777" w:rsidR="00BA3210" w:rsidRDefault="00BA3210">
            <w:pPr>
              <w:jc w:val="center"/>
              <w:rPr>
                <w:b/>
                <w:bCs/>
              </w:rPr>
            </w:pPr>
            <w:r>
              <w:rPr>
                <w:b/>
                <w:bCs/>
              </w:rPr>
              <w:t>Total Effect (p)</w:t>
            </w:r>
          </w:p>
        </w:tc>
        <w:tc>
          <w:tcPr>
            <w:tcW w:w="0" w:type="auto"/>
            <w:vAlign w:val="center"/>
            <w:hideMark/>
          </w:tcPr>
          <w:p w14:paraId="10249D2E" w14:textId="77777777" w:rsidR="00BA3210" w:rsidRDefault="00BA3210">
            <w:pPr>
              <w:jc w:val="center"/>
              <w:rPr>
                <w:b/>
                <w:bCs/>
              </w:rPr>
            </w:pPr>
            <w:r>
              <w:rPr>
                <w:b/>
                <w:bCs/>
              </w:rPr>
              <w:t>Proportion Mediated (p)</w:t>
            </w:r>
          </w:p>
        </w:tc>
      </w:tr>
      <w:tr w:rsidR="00BA3210" w14:paraId="4649DE70" w14:textId="77777777" w:rsidTr="00BA3210">
        <w:trPr>
          <w:tblCellSpacing w:w="15" w:type="dxa"/>
        </w:trPr>
        <w:tc>
          <w:tcPr>
            <w:tcW w:w="0" w:type="auto"/>
            <w:vAlign w:val="center"/>
            <w:hideMark/>
          </w:tcPr>
          <w:p w14:paraId="32B5113D" w14:textId="77777777" w:rsidR="00BA3210" w:rsidRDefault="00BA3210">
            <w:r>
              <w:t>Screen → Sleep → Barretts</w:t>
            </w:r>
          </w:p>
        </w:tc>
        <w:tc>
          <w:tcPr>
            <w:tcW w:w="0" w:type="auto"/>
            <w:vAlign w:val="center"/>
            <w:hideMark/>
          </w:tcPr>
          <w:p w14:paraId="67631CFC" w14:textId="77777777" w:rsidR="00BA3210" w:rsidRDefault="00BA3210">
            <w:r>
              <w:t>–0.079 [–0.157, –0.020]</w:t>
            </w:r>
          </w:p>
        </w:tc>
        <w:tc>
          <w:tcPr>
            <w:tcW w:w="0" w:type="auto"/>
            <w:vAlign w:val="center"/>
            <w:hideMark/>
          </w:tcPr>
          <w:p w14:paraId="605BE8DB" w14:textId="77777777" w:rsidR="00BA3210" w:rsidRDefault="00BA3210">
            <w:r>
              <w:t>.010</w:t>
            </w:r>
          </w:p>
        </w:tc>
        <w:tc>
          <w:tcPr>
            <w:tcW w:w="0" w:type="auto"/>
            <w:vAlign w:val="center"/>
            <w:hideMark/>
          </w:tcPr>
          <w:p w14:paraId="4100F652" w14:textId="77777777" w:rsidR="00BA3210" w:rsidRDefault="00BA3210">
            <w:r>
              <w:t>–0.050 [–0.172, 0.070]</w:t>
            </w:r>
          </w:p>
        </w:tc>
        <w:tc>
          <w:tcPr>
            <w:tcW w:w="0" w:type="auto"/>
            <w:vAlign w:val="center"/>
            <w:hideMark/>
          </w:tcPr>
          <w:p w14:paraId="5CF67CAE" w14:textId="77777777" w:rsidR="00BA3210" w:rsidRDefault="00BA3210">
            <w:r>
              <w:t>.404</w:t>
            </w:r>
          </w:p>
        </w:tc>
        <w:tc>
          <w:tcPr>
            <w:tcW w:w="0" w:type="auto"/>
            <w:vAlign w:val="center"/>
            <w:hideMark/>
          </w:tcPr>
          <w:p w14:paraId="771A17B1" w14:textId="77777777" w:rsidR="00BA3210" w:rsidRDefault="00BA3210">
            <w:r>
              <w:t>–0.129 (.064)</w:t>
            </w:r>
          </w:p>
        </w:tc>
        <w:tc>
          <w:tcPr>
            <w:tcW w:w="0" w:type="auto"/>
            <w:vAlign w:val="center"/>
            <w:hideMark/>
          </w:tcPr>
          <w:p w14:paraId="3F0BE480" w14:textId="77777777" w:rsidR="00BA3210" w:rsidRDefault="00BA3210">
            <w:r>
              <w:t>0.61 (.066)</w:t>
            </w:r>
          </w:p>
        </w:tc>
      </w:tr>
      <w:tr w:rsidR="00BA3210" w14:paraId="451C31AE" w14:textId="77777777" w:rsidTr="00BA3210">
        <w:trPr>
          <w:tblCellSpacing w:w="15" w:type="dxa"/>
        </w:trPr>
        <w:tc>
          <w:tcPr>
            <w:tcW w:w="0" w:type="auto"/>
            <w:vAlign w:val="center"/>
            <w:hideMark/>
          </w:tcPr>
          <w:p w14:paraId="1AE743A9" w14:textId="77777777" w:rsidR="00BA3210" w:rsidRDefault="00BA3210">
            <w:r>
              <w:t>Screen → Sleep → TEXI</w:t>
            </w:r>
          </w:p>
        </w:tc>
        <w:tc>
          <w:tcPr>
            <w:tcW w:w="0" w:type="auto"/>
            <w:vAlign w:val="center"/>
            <w:hideMark/>
          </w:tcPr>
          <w:p w14:paraId="351B5D1F" w14:textId="77777777" w:rsidR="00BA3210" w:rsidRDefault="00BA3210">
            <w:r>
              <w:t>–0.090 [–0.169, –0.020]</w:t>
            </w:r>
          </w:p>
        </w:tc>
        <w:tc>
          <w:tcPr>
            <w:tcW w:w="0" w:type="auto"/>
            <w:vAlign w:val="center"/>
            <w:hideMark/>
          </w:tcPr>
          <w:p w14:paraId="75D046F9" w14:textId="77777777" w:rsidR="00BA3210" w:rsidRDefault="00BA3210">
            <w:r>
              <w:t>.016</w:t>
            </w:r>
          </w:p>
        </w:tc>
        <w:tc>
          <w:tcPr>
            <w:tcW w:w="0" w:type="auto"/>
            <w:vAlign w:val="center"/>
            <w:hideMark/>
          </w:tcPr>
          <w:p w14:paraId="523FC10E" w14:textId="77777777" w:rsidR="00BA3210" w:rsidRDefault="00BA3210">
            <w:r>
              <w:t>0.079 [–0.052, 0.220]</w:t>
            </w:r>
          </w:p>
        </w:tc>
        <w:tc>
          <w:tcPr>
            <w:tcW w:w="0" w:type="auto"/>
            <w:vAlign w:val="center"/>
            <w:hideMark/>
          </w:tcPr>
          <w:p w14:paraId="72DE2700" w14:textId="77777777" w:rsidR="00BA3210" w:rsidRDefault="00BA3210">
            <w:r>
              <w:t>.242</w:t>
            </w:r>
          </w:p>
        </w:tc>
        <w:tc>
          <w:tcPr>
            <w:tcW w:w="0" w:type="auto"/>
            <w:vAlign w:val="center"/>
            <w:hideMark/>
          </w:tcPr>
          <w:p w14:paraId="4F8B20F0" w14:textId="77777777" w:rsidR="00BA3210" w:rsidRDefault="00BA3210">
            <w:r>
              <w:t>–0.010 (.906)</w:t>
            </w:r>
          </w:p>
        </w:tc>
        <w:tc>
          <w:tcPr>
            <w:tcW w:w="0" w:type="auto"/>
            <w:vAlign w:val="center"/>
            <w:hideMark/>
          </w:tcPr>
          <w:p w14:paraId="277B6D48" w14:textId="77777777" w:rsidR="00BA3210" w:rsidRDefault="00BA3210">
            <w:r>
              <w:t>8.61 (.890)</w:t>
            </w:r>
          </w:p>
        </w:tc>
      </w:tr>
      <w:tr w:rsidR="00BA3210" w14:paraId="6F1FBD52" w14:textId="77777777" w:rsidTr="00BA3210">
        <w:trPr>
          <w:tblCellSpacing w:w="15" w:type="dxa"/>
        </w:trPr>
        <w:tc>
          <w:tcPr>
            <w:tcW w:w="0" w:type="auto"/>
            <w:vAlign w:val="center"/>
            <w:hideMark/>
          </w:tcPr>
          <w:p w14:paraId="65AAC7D6" w14:textId="77777777" w:rsidR="00BA3210" w:rsidRDefault="00BA3210">
            <w:r>
              <w:t>Screen → Body Health → Barretts</w:t>
            </w:r>
          </w:p>
        </w:tc>
        <w:tc>
          <w:tcPr>
            <w:tcW w:w="0" w:type="auto"/>
            <w:vAlign w:val="center"/>
            <w:hideMark/>
          </w:tcPr>
          <w:p w14:paraId="63C13E99" w14:textId="77777777" w:rsidR="00BA3210" w:rsidRDefault="00BA3210">
            <w:r>
              <w:t>–0.025 [–0.071, 0.010]</w:t>
            </w:r>
          </w:p>
        </w:tc>
        <w:tc>
          <w:tcPr>
            <w:tcW w:w="0" w:type="auto"/>
            <w:vAlign w:val="center"/>
            <w:hideMark/>
          </w:tcPr>
          <w:p w14:paraId="078B55F7" w14:textId="77777777" w:rsidR="00BA3210" w:rsidRDefault="00BA3210">
            <w:r>
              <w:t>.210</w:t>
            </w:r>
          </w:p>
        </w:tc>
        <w:tc>
          <w:tcPr>
            <w:tcW w:w="0" w:type="auto"/>
            <w:vAlign w:val="center"/>
            <w:hideMark/>
          </w:tcPr>
          <w:p w14:paraId="076DAB2B" w14:textId="77777777" w:rsidR="00BA3210" w:rsidRDefault="00BA3210">
            <w:r>
              <w:t>–0.101 [–0.226, 0.030]</w:t>
            </w:r>
          </w:p>
        </w:tc>
        <w:tc>
          <w:tcPr>
            <w:tcW w:w="0" w:type="auto"/>
            <w:vAlign w:val="center"/>
            <w:hideMark/>
          </w:tcPr>
          <w:p w14:paraId="154C3A36" w14:textId="77777777" w:rsidR="00BA3210" w:rsidRDefault="00BA3210">
            <w:r>
              <w:t>.130</w:t>
            </w:r>
          </w:p>
        </w:tc>
        <w:tc>
          <w:tcPr>
            <w:tcW w:w="0" w:type="auto"/>
            <w:vAlign w:val="center"/>
            <w:hideMark/>
          </w:tcPr>
          <w:p w14:paraId="2861D5D4" w14:textId="77777777" w:rsidR="00BA3210" w:rsidRDefault="00BA3210">
            <w:r>
              <w:t>–0.126 (.050)</w:t>
            </w:r>
          </w:p>
        </w:tc>
        <w:tc>
          <w:tcPr>
            <w:tcW w:w="0" w:type="auto"/>
            <w:vAlign w:val="center"/>
            <w:hideMark/>
          </w:tcPr>
          <w:p w14:paraId="4C54DFEF" w14:textId="77777777" w:rsidR="00BA3210" w:rsidRDefault="00BA3210">
            <w:r>
              <w:t>0.20 (.260)</w:t>
            </w:r>
          </w:p>
        </w:tc>
      </w:tr>
      <w:tr w:rsidR="00BA3210" w14:paraId="6084C83D" w14:textId="77777777" w:rsidTr="00BA3210">
        <w:trPr>
          <w:tblCellSpacing w:w="15" w:type="dxa"/>
        </w:trPr>
        <w:tc>
          <w:tcPr>
            <w:tcW w:w="0" w:type="auto"/>
            <w:vAlign w:val="center"/>
            <w:hideMark/>
          </w:tcPr>
          <w:p w14:paraId="2FAEE967" w14:textId="77777777" w:rsidR="00BA3210" w:rsidRDefault="00BA3210">
            <w:r>
              <w:t>Screen → Body Health → TEXI</w:t>
            </w:r>
          </w:p>
        </w:tc>
        <w:tc>
          <w:tcPr>
            <w:tcW w:w="0" w:type="auto"/>
            <w:vAlign w:val="center"/>
            <w:hideMark/>
          </w:tcPr>
          <w:p w14:paraId="643CDC92" w14:textId="77777777" w:rsidR="00BA3210" w:rsidRDefault="00BA3210">
            <w:r>
              <w:t>–0.038 [–0.087, 0.000]</w:t>
            </w:r>
          </w:p>
        </w:tc>
        <w:tc>
          <w:tcPr>
            <w:tcW w:w="0" w:type="auto"/>
            <w:vAlign w:val="center"/>
            <w:hideMark/>
          </w:tcPr>
          <w:p w14:paraId="0DE6CA2C" w14:textId="77777777" w:rsidR="00BA3210" w:rsidRDefault="00BA3210">
            <w:r>
              <w:t>.060</w:t>
            </w:r>
          </w:p>
        </w:tc>
        <w:tc>
          <w:tcPr>
            <w:tcW w:w="0" w:type="auto"/>
            <w:vAlign w:val="center"/>
            <w:hideMark/>
          </w:tcPr>
          <w:p w14:paraId="69E6BA7F" w14:textId="77777777" w:rsidR="00BA3210" w:rsidRDefault="00BA3210">
            <w:r>
              <w:t>0.029 [–0.113, 0.180]</w:t>
            </w:r>
          </w:p>
        </w:tc>
        <w:tc>
          <w:tcPr>
            <w:tcW w:w="0" w:type="auto"/>
            <w:vAlign w:val="center"/>
            <w:hideMark/>
          </w:tcPr>
          <w:p w14:paraId="538D8309" w14:textId="77777777" w:rsidR="00BA3210" w:rsidRDefault="00BA3210">
            <w:r>
              <w:t>.750</w:t>
            </w:r>
          </w:p>
        </w:tc>
        <w:tc>
          <w:tcPr>
            <w:tcW w:w="0" w:type="auto"/>
            <w:vAlign w:val="center"/>
            <w:hideMark/>
          </w:tcPr>
          <w:p w14:paraId="76E8D57F" w14:textId="77777777" w:rsidR="00BA3210" w:rsidRDefault="00BA3210">
            <w:r>
              <w:t>–0.009 (.880)</w:t>
            </w:r>
          </w:p>
        </w:tc>
        <w:tc>
          <w:tcPr>
            <w:tcW w:w="0" w:type="auto"/>
            <w:vAlign w:val="center"/>
            <w:hideMark/>
          </w:tcPr>
          <w:p w14:paraId="5D53522F" w14:textId="77777777" w:rsidR="00BA3210" w:rsidRDefault="00BA3210">
            <w:r>
              <w:t>4.24 (.890)</w:t>
            </w:r>
          </w:p>
        </w:tc>
      </w:tr>
    </w:tbl>
    <w:p w14:paraId="36816030" w14:textId="77777777" w:rsidR="00BA3210" w:rsidRDefault="00BA3210" w:rsidP="008B1BEE">
      <w:pPr>
        <w:rPr>
          <w:rFonts w:eastAsiaTheme="minorHAnsi"/>
        </w:rPr>
      </w:pPr>
    </w:p>
    <w:p w14:paraId="4C5DA63A" w14:textId="77777777" w:rsidR="00BA3210" w:rsidRDefault="00BA3210" w:rsidP="00BA3210">
      <w:pPr>
        <w:pStyle w:val="NormalWeb"/>
      </w:pPr>
      <w:r>
        <w:t>Sleep significantly mediated the effect of digital immersion on impulsivity (ACME = –0.079, p = .010). For executive functioning, both sleep (ACME = –0.090, p = .016) and body health (ACME = –0.038, p = .060) exhibited negative indirect effects, opposite in direction to their respective direct effects. Body health did not significantly mediate impulsivity (ACME = –0.025, p = .210).</w:t>
      </w:r>
    </w:p>
    <w:p w14:paraId="521D8119" w14:textId="77777777" w:rsidR="00146793" w:rsidRDefault="00146793" w:rsidP="00F75CEA">
      <w:pPr>
        <w:pStyle w:val="NormalWeb"/>
      </w:pPr>
    </w:p>
    <w:p w14:paraId="02357F12" w14:textId="6E8DEF90" w:rsidR="00A82AC0" w:rsidRDefault="00146793" w:rsidP="00F75CEA">
      <w:pPr>
        <w:pStyle w:val="NormalWeb"/>
        <w:rPr>
          <w:b/>
          <w:bCs/>
        </w:rPr>
      </w:pPr>
      <w:r>
        <w:rPr>
          <w:b/>
          <w:bCs/>
        </w:rPr>
        <w:t>Moderations on SAS, OBJ</w:t>
      </w:r>
      <w:r>
        <w:rPr>
          <w:b/>
          <w:bCs/>
        </w:rPr>
        <w:br/>
      </w:r>
      <w:r w:rsidR="00A82AC0">
        <w:rPr>
          <w:b/>
          <w:bCs/>
        </w:rPr>
        <w:t xml:space="preserve"> </w:t>
      </w:r>
    </w:p>
    <w:p w14:paraId="323FEAA4" w14:textId="77777777" w:rsidR="00A82AC0" w:rsidRDefault="00A82AC0" w:rsidP="00F75CEA">
      <w:pPr>
        <w:pStyle w:val="NormalWeb"/>
        <w:rPr>
          <w:b/>
          <w:bCs/>
        </w:rPr>
      </w:pPr>
    </w:p>
    <w:p w14:paraId="516758D3" w14:textId="77777777" w:rsidR="00BA3210" w:rsidRDefault="00BA3210" w:rsidP="00F75CEA">
      <w:pPr>
        <w:pStyle w:val="NormalWeb"/>
        <w:rPr>
          <w:b/>
          <w:bCs/>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2321"/>
        <w:gridCol w:w="2779"/>
        <w:gridCol w:w="1198"/>
        <w:gridCol w:w="1382"/>
      </w:tblGrid>
      <w:tr w:rsidR="00BA3210" w14:paraId="160CF54A" w14:textId="77777777" w:rsidTr="00BA3210">
        <w:trPr>
          <w:tblHeader/>
          <w:tblCellSpacing w:w="15" w:type="dxa"/>
        </w:trPr>
        <w:tc>
          <w:tcPr>
            <w:tcW w:w="0" w:type="auto"/>
            <w:vAlign w:val="center"/>
            <w:hideMark/>
          </w:tcPr>
          <w:p w14:paraId="033D7CF1" w14:textId="77777777" w:rsidR="00BA3210" w:rsidRDefault="00BA3210">
            <w:pPr>
              <w:jc w:val="center"/>
              <w:rPr>
                <w:b/>
                <w:bCs/>
              </w:rPr>
            </w:pPr>
            <w:r>
              <w:rPr>
                <w:b/>
                <w:bCs/>
              </w:rPr>
              <w:lastRenderedPageBreak/>
              <w:t>Digital Group</w:t>
            </w:r>
          </w:p>
        </w:tc>
        <w:tc>
          <w:tcPr>
            <w:tcW w:w="0" w:type="auto"/>
            <w:vAlign w:val="center"/>
            <w:hideMark/>
          </w:tcPr>
          <w:p w14:paraId="68EEED5C" w14:textId="77777777" w:rsidR="00BA3210" w:rsidRDefault="00BA3210">
            <w:pPr>
              <w:jc w:val="center"/>
              <w:rPr>
                <w:b/>
                <w:bCs/>
              </w:rPr>
            </w:pPr>
            <w:r>
              <w:rPr>
                <w:b/>
                <w:bCs/>
              </w:rPr>
              <w:t>Significant Predictors</w:t>
            </w:r>
          </w:p>
        </w:tc>
        <w:tc>
          <w:tcPr>
            <w:tcW w:w="0" w:type="auto"/>
            <w:vAlign w:val="center"/>
            <w:hideMark/>
          </w:tcPr>
          <w:p w14:paraId="3114CB06" w14:textId="77777777" w:rsidR="00BA3210" w:rsidRDefault="00BA3210">
            <w:pPr>
              <w:jc w:val="center"/>
              <w:rPr>
                <w:b/>
                <w:bCs/>
              </w:rPr>
            </w:pPr>
            <w:r>
              <w:rPr>
                <w:b/>
                <w:bCs/>
              </w:rPr>
              <w:t>Outcomes Associated with Health Predictors</w:t>
            </w:r>
          </w:p>
        </w:tc>
        <w:tc>
          <w:tcPr>
            <w:tcW w:w="0" w:type="auto"/>
            <w:vAlign w:val="center"/>
            <w:hideMark/>
          </w:tcPr>
          <w:p w14:paraId="05BD858B" w14:textId="77777777" w:rsidR="00BA3210" w:rsidRDefault="00BA3210">
            <w:pPr>
              <w:jc w:val="center"/>
              <w:rPr>
                <w:b/>
                <w:bCs/>
              </w:rPr>
            </w:pPr>
            <w:r>
              <w:rPr>
                <w:b/>
                <w:bCs/>
              </w:rPr>
              <w:t>Group Effect (p)</w:t>
            </w:r>
          </w:p>
        </w:tc>
        <w:tc>
          <w:tcPr>
            <w:tcW w:w="0" w:type="auto"/>
            <w:vAlign w:val="center"/>
            <w:hideMark/>
          </w:tcPr>
          <w:p w14:paraId="52B8C93C" w14:textId="77777777" w:rsidR="00BA3210" w:rsidRDefault="00BA3210">
            <w:pPr>
              <w:jc w:val="center"/>
              <w:rPr>
                <w:b/>
                <w:bCs/>
              </w:rPr>
            </w:pPr>
            <w:r>
              <w:rPr>
                <w:b/>
                <w:bCs/>
              </w:rPr>
              <w:t>Interaction (p)</w:t>
            </w:r>
          </w:p>
        </w:tc>
      </w:tr>
      <w:tr w:rsidR="00BA3210" w14:paraId="78B2F6FA" w14:textId="77777777" w:rsidTr="00BA3210">
        <w:trPr>
          <w:tblCellSpacing w:w="15" w:type="dxa"/>
        </w:trPr>
        <w:tc>
          <w:tcPr>
            <w:tcW w:w="0" w:type="auto"/>
            <w:vAlign w:val="center"/>
            <w:hideMark/>
          </w:tcPr>
          <w:p w14:paraId="0A2AE058" w14:textId="77777777" w:rsidR="00BA3210" w:rsidRDefault="00BA3210">
            <w:r>
              <w:t>Smartphone Addiction</w:t>
            </w:r>
          </w:p>
        </w:tc>
        <w:tc>
          <w:tcPr>
            <w:tcW w:w="0" w:type="auto"/>
            <w:vAlign w:val="center"/>
            <w:hideMark/>
          </w:tcPr>
          <w:p w14:paraId="29ED35E2" w14:textId="77777777" w:rsidR="00BA3210" w:rsidRDefault="00BA3210">
            <w:r>
              <w:t>Body Health (p = .013), Age (p = .124)</w:t>
            </w:r>
          </w:p>
        </w:tc>
        <w:tc>
          <w:tcPr>
            <w:tcW w:w="0" w:type="auto"/>
            <w:vAlign w:val="center"/>
            <w:hideMark/>
          </w:tcPr>
          <w:p w14:paraId="0C38F57F" w14:textId="77777777" w:rsidR="00BA3210" w:rsidRDefault="00BA3210">
            <w:r>
              <w:t>Impulsivity (Barretts), Executive Function (TEXI)</w:t>
            </w:r>
          </w:p>
        </w:tc>
        <w:tc>
          <w:tcPr>
            <w:tcW w:w="0" w:type="auto"/>
            <w:vAlign w:val="center"/>
            <w:hideMark/>
          </w:tcPr>
          <w:p w14:paraId="002ECD2D" w14:textId="77777777" w:rsidR="00BA3210" w:rsidRDefault="00BA3210">
            <w:r>
              <w:t>ns (.312–.652)</w:t>
            </w:r>
          </w:p>
        </w:tc>
        <w:tc>
          <w:tcPr>
            <w:tcW w:w="0" w:type="auto"/>
            <w:vAlign w:val="center"/>
            <w:hideMark/>
          </w:tcPr>
          <w:p w14:paraId="1E81E821" w14:textId="77777777" w:rsidR="00BA3210" w:rsidRDefault="00BA3210">
            <w:r>
              <w:t>ns (.171–.927)</w:t>
            </w:r>
          </w:p>
        </w:tc>
      </w:tr>
      <w:tr w:rsidR="00BA3210" w14:paraId="6BAE41E3" w14:textId="77777777" w:rsidTr="00BA3210">
        <w:trPr>
          <w:tblCellSpacing w:w="15" w:type="dxa"/>
        </w:trPr>
        <w:tc>
          <w:tcPr>
            <w:tcW w:w="0" w:type="auto"/>
            <w:vAlign w:val="center"/>
            <w:hideMark/>
          </w:tcPr>
          <w:p w14:paraId="04B9DDDE" w14:textId="77777777" w:rsidR="00BA3210" w:rsidRDefault="00BA3210">
            <w:r>
              <w:t>Objective Phone Use</w:t>
            </w:r>
          </w:p>
        </w:tc>
        <w:tc>
          <w:tcPr>
            <w:tcW w:w="0" w:type="auto"/>
            <w:vAlign w:val="center"/>
            <w:hideMark/>
          </w:tcPr>
          <w:p w14:paraId="698149AA" w14:textId="77777777" w:rsidR="00BA3210" w:rsidRDefault="00BA3210">
            <w:r>
              <w:t>Body Health (p = .006), Age (p = .028)</w:t>
            </w:r>
          </w:p>
        </w:tc>
        <w:tc>
          <w:tcPr>
            <w:tcW w:w="0" w:type="auto"/>
            <w:vAlign w:val="center"/>
            <w:hideMark/>
          </w:tcPr>
          <w:p w14:paraId="1FF3EB8E" w14:textId="77777777" w:rsidR="00BA3210" w:rsidRDefault="00BA3210">
            <w:r>
              <w:t>Impulsivity (Barretts), Executive Function (TEXI)</w:t>
            </w:r>
          </w:p>
        </w:tc>
        <w:tc>
          <w:tcPr>
            <w:tcW w:w="0" w:type="auto"/>
            <w:vAlign w:val="center"/>
            <w:hideMark/>
          </w:tcPr>
          <w:p w14:paraId="6BA07688" w14:textId="77777777" w:rsidR="00BA3210" w:rsidRDefault="00BA3210">
            <w:r>
              <w:t>ns (.284–.755)</w:t>
            </w:r>
          </w:p>
        </w:tc>
        <w:tc>
          <w:tcPr>
            <w:tcW w:w="0" w:type="auto"/>
            <w:vAlign w:val="center"/>
            <w:hideMark/>
          </w:tcPr>
          <w:p w14:paraId="05F03858" w14:textId="77777777" w:rsidR="00BA3210" w:rsidRDefault="00BA3210">
            <w:r>
              <w:t>ns (.397–.927)</w:t>
            </w:r>
          </w:p>
        </w:tc>
      </w:tr>
    </w:tbl>
    <w:p w14:paraId="74B4669A" w14:textId="77777777" w:rsidR="00BA3210" w:rsidRPr="00146793" w:rsidRDefault="00BA3210" w:rsidP="00F75CEA">
      <w:pPr>
        <w:pStyle w:val="NormalWeb"/>
        <w:rPr>
          <w:b/>
          <w:bCs/>
        </w:rPr>
      </w:pPr>
    </w:p>
    <w:p w14:paraId="1E9A0335" w14:textId="77777777" w:rsidR="00966BDC" w:rsidRDefault="00966BDC" w:rsidP="008B1BEE">
      <w:pPr>
        <w:rPr>
          <w:rFonts w:eastAsiaTheme="minorHAnsi"/>
        </w:rPr>
      </w:pPr>
    </w:p>
    <w:p w14:paraId="7DBE7D17" w14:textId="78461BF7" w:rsidR="00966BDC" w:rsidRDefault="008C75F3" w:rsidP="008B1BEE">
      <w:pPr>
        <w:rPr>
          <w:rFonts w:eastAsiaTheme="minorHAnsi"/>
        </w:rPr>
      </w:pPr>
      <w:r>
        <w:t>MANCOVAs and ANCOVAs tested whether sleep or body health moderated links between high/low/no smartphone addiction or objective smartphone use and both behavioral and self-report cognition; sleep and body health consistently predicted better executive functioning and lower impulsivity, but neither digital group differences nor interaction effects were significant.</w:t>
      </w:r>
    </w:p>
    <w:p w14:paraId="7E098F56" w14:textId="77777777" w:rsidR="00966BDC" w:rsidRDefault="00966BDC" w:rsidP="008B1BEE">
      <w:pPr>
        <w:rPr>
          <w:rFonts w:eastAsiaTheme="minorHAnsi"/>
        </w:rPr>
      </w:pPr>
    </w:p>
    <w:p w14:paraId="013FFA19" w14:textId="77777777" w:rsidR="00966BDC" w:rsidRDefault="00966BDC" w:rsidP="008B1BEE">
      <w:pPr>
        <w:rPr>
          <w:rFonts w:eastAsiaTheme="minorHAnsi"/>
        </w:rPr>
      </w:pPr>
    </w:p>
    <w:p w14:paraId="1D031D11" w14:textId="77777777" w:rsidR="00966BDC" w:rsidRDefault="00966BDC" w:rsidP="008B1BEE">
      <w:pPr>
        <w:rPr>
          <w:rFonts w:eastAsiaTheme="minorHAnsi"/>
        </w:rPr>
      </w:pPr>
    </w:p>
    <w:p w14:paraId="6AA3A7BD" w14:textId="77777777" w:rsidR="00966BDC" w:rsidRDefault="00966BDC" w:rsidP="008B1BEE">
      <w:pPr>
        <w:rPr>
          <w:rFonts w:eastAsiaTheme="minorHAnsi"/>
        </w:rPr>
      </w:pPr>
    </w:p>
    <w:p w14:paraId="3D617462" w14:textId="77777777" w:rsidR="00966BDC" w:rsidRDefault="00966BDC" w:rsidP="008B1BEE">
      <w:pPr>
        <w:rPr>
          <w:rFonts w:eastAsiaTheme="minorHAnsi"/>
        </w:rPr>
      </w:pPr>
    </w:p>
    <w:p w14:paraId="3B4BF1D6" w14:textId="77777777" w:rsidR="00966BDC" w:rsidRDefault="00966BDC" w:rsidP="008B1BEE">
      <w:pPr>
        <w:rPr>
          <w:rFonts w:eastAsiaTheme="minorHAnsi"/>
        </w:rPr>
      </w:pPr>
    </w:p>
    <w:p w14:paraId="10A5032E" w14:textId="77777777" w:rsidR="00966BDC" w:rsidRDefault="00966BDC" w:rsidP="008B1BEE">
      <w:pPr>
        <w:rPr>
          <w:rFonts w:eastAsiaTheme="minorHAnsi"/>
        </w:rPr>
      </w:pPr>
    </w:p>
    <w:p w14:paraId="7BBC53C7" w14:textId="77777777" w:rsidR="00966BDC" w:rsidRDefault="00966BDC" w:rsidP="008B1BEE">
      <w:pPr>
        <w:rPr>
          <w:rFonts w:eastAsiaTheme="minorHAnsi"/>
        </w:rPr>
      </w:pPr>
    </w:p>
    <w:sectPr w:rsidR="00966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1D40"/>
    <w:multiLevelType w:val="hybridMultilevel"/>
    <w:tmpl w:val="4C0E40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5D13"/>
    <w:multiLevelType w:val="hybridMultilevel"/>
    <w:tmpl w:val="60CAA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2641E"/>
    <w:multiLevelType w:val="hybridMultilevel"/>
    <w:tmpl w:val="5C6AC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103B"/>
    <w:multiLevelType w:val="hybridMultilevel"/>
    <w:tmpl w:val="1F545FB2"/>
    <w:lvl w:ilvl="0" w:tplc="04090015">
      <w:start w:val="1"/>
      <w:numFmt w:val="upperLetter"/>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D61D9"/>
    <w:multiLevelType w:val="multilevel"/>
    <w:tmpl w:val="FA4E0F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E3A5E"/>
    <w:multiLevelType w:val="hybridMultilevel"/>
    <w:tmpl w:val="616CC1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342F41"/>
    <w:multiLevelType w:val="hybridMultilevel"/>
    <w:tmpl w:val="E1A89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2427D"/>
    <w:multiLevelType w:val="hybridMultilevel"/>
    <w:tmpl w:val="61A675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0F08C7"/>
    <w:multiLevelType w:val="multilevel"/>
    <w:tmpl w:val="BF70D1C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E1CE6"/>
    <w:multiLevelType w:val="hybridMultilevel"/>
    <w:tmpl w:val="C69E4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932605"/>
    <w:multiLevelType w:val="hybridMultilevel"/>
    <w:tmpl w:val="01E89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360E4"/>
    <w:multiLevelType w:val="hybridMultilevel"/>
    <w:tmpl w:val="AA7832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7C6A67"/>
    <w:multiLevelType w:val="hybridMultilevel"/>
    <w:tmpl w:val="15363B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336A8A"/>
    <w:multiLevelType w:val="hybridMultilevel"/>
    <w:tmpl w:val="ABD47158"/>
    <w:lvl w:ilvl="0" w:tplc="A3E64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D5B5C"/>
    <w:multiLevelType w:val="hybridMultilevel"/>
    <w:tmpl w:val="4CDE5C86"/>
    <w:lvl w:ilvl="0" w:tplc="3C2A79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C671E"/>
    <w:multiLevelType w:val="hybridMultilevel"/>
    <w:tmpl w:val="3902500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090410"/>
    <w:multiLevelType w:val="hybridMultilevel"/>
    <w:tmpl w:val="6E3A21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DD7060"/>
    <w:multiLevelType w:val="multilevel"/>
    <w:tmpl w:val="B82AC3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B2A44"/>
    <w:multiLevelType w:val="hybridMultilevel"/>
    <w:tmpl w:val="25AA5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0E59E3"/>
    <w:multiLevelType w:val="hybridMultilevel"/>
    <w:tmpl w:val="F3D2505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EA6322"/>
    <w:multiLevelType w:val="hybridMultilevel"/>
    <w:tmpl w:val="4C585F8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1E3FC7"/>
    <w:multiLevelType w:val="hybridMultilevel"/>
    <w:tmpl w:val="58D8C4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B86871"/>
    <w:multiLevelType w:val="hybridMultilevel"/>
    <w:tmpl w:val="D9E6C4DA"/>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D6D57"/>
    <w:multiLevelType w:val="hybridMultilevel"/>
    <w:tmpl w:val="D7B842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4505A3"/>
    <w:multiLevelType w:val="hybridMultilevel"/>
    <w:tmpl w:val="BB74F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6151B8"/>
    <w:multiLevelType w:val="hybridMultilevel"/>
    <w:tmpl w:val="EE4C947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015F94"/>
    <w:multiLevelType w:val="hybridMultilevel"/>
    <w:tmpl w:val="5D2614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571AD5"/>
    <w:multiLevelType w:val="hybridMultilevel"/>
    <w:tmpl w:val="857C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4307CD"/>
    <w:multiLevelType w:val="hybridMultilevel"/>
    <w:tmpl w:val="0374C4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435A48"/>
    <w:multiLevelType w:val="multilevel"/>
    <w:tmpl w:val="8FA42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7525D2"/>
    <w:multiLevelType w:val="hybridMultilevel"/>
    <w:tmpl w:val="868875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5285240"/>
    <w:multiLevelType w:val="hybridMultilevel"/>
    <w:tmpl w:val="5AA86FEE"/>
    <w:lvl w:ilvl="0" w:tplc="F7FE7B58">
      <w:start w:val="1"/>
      <w:numFmt w:val="decimal"/>
      <w:lvlText w:val="%1."/>
      <w:lvlJc w:val="left"/>
      <w:pPr>
        <w:ind w:left="360" w:hanging="360"/>
      </w:pPr>
      <w:rPr>
        <w:rFonts w:hint="default"/>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8CB4BE8"/>
    <w:multiLevelType w:val="hybridMultilevel"/>
    <w:tmpl w:val="A9C2F8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9114EA7"/>
    <w:multiLevelType w:val="hybridMultilevel"/>
    <w:tmpl w:val="D97289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5153F3"/>
    <w:multiLevelType w:val="hybridMultilevel"/>
    <w:tmpl w:val="B18CE4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E140E98"/>
    <w:multiLevelType w:val="hybridMultilevel"/>
    <w:tmpl w:val="75E8D410"/>
    <w:lvl w:ilvl="0" w:tplc="E020B13A">
      <w:start w:val="1"/>
      <w:numFmt w:val="decimal"/>
      <w:lvlText w:val="%1."/>
      <w:lvlJc w:val="left"/>
      <w:pPr>
        <w:ind w:left="360" w:hanging="360"/>
      </w:pPr>
      <w:rPr>
        <w:rFonts w:eastAsiaTheme="majorEastAsi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FA93EA1"/>
    <w:multiLevelType w:val="hybridMultilevel"/>
    <w:tmpl w:val="AF001188"/>
    <w:lvl w:ilvl="0" w:tplc="64A2174A">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C06B28"/>
    <w:multiLevelType w:val="hybridMultilevel"/>
    <w:tmpl w:val="725E0146"/>
    <w:lvl w:ilvl="0" w:tplc="80108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F24D2E"/>
    <w:multiLevelType w:val="hybridMultilevel"/>
    <w:tmpl w:val="62188C96"/>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247A56"/>
    <w:multiLevelType w:val="hybridMultilevel"/>
    <w:tmpl w:val="0BF6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AE5A8C"/>
    <w:multiLevelType w:val="hybridMultilevel"/>
    <w:tmpl w:val="5BB254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9D7C3D"/>
    <w:multiLevelType w:val="hybridMultilevel"/>
    <w:tmpl w:val="08CCCE10"/>
    <w:lvl w:ilvl="0" w:tplc="28186E54">
      <w:start w:val="1"/>
      <w:numFmt w:val="decimal"/>
      <w:lvlText w:val="%1."/>
      <w:lvlJc w:val="left"/>
      <w:pPr>
        <w:ind w:left="360" w:hanging="360"/>
      </w:pPr>
      <w:rPr>
        <w:rFonts w:eastAsiaTheme="majorEastAsi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2D2E04"/>
    <w:multiLevelType w:val="hybridMultilevel"/>
    <w:tmpl w:val="B4B625D6"/>
    <w:lvl w:ilvl="0" w:tplc="9FC23D28">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A3510AD"/>
    <w:multiLevelType w:val="hybridMultilevel"/>
    <w:tmpl w:val="8E2A53DC"/>
    <w:lvl w:ilvl="0" w:tplc="F3A465D2">
      <w:start w:val="1"/>
      <w:numFmt w:val="decimal"/>
      <w:lvlText w:val="%1."/>
      <w:lvlJc w:val="left"/>
      <w:pPr>
        <w:ind w:left="360" w:hanging="360"/>
      </w:pPr>
      <w:rPr>
        <w:rFonts w:eastAsiaTheme="majorEastAsi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0A107E"/>
    <w:multiLevelType w:val="hybridMultilevel"/>
    <w:tmpl w:val="BA920D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60C873B0">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5C4883"/>
    <w:multiLevelType w:val="hybridMultilevel"/>
    <w:tmpl w:val="C9E26C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9317B0"/>
    <w:multiLevelType w:val="hybridMultilevel"/>
    <w:tmpl w:val="EBF60592"/>
    <w:lvl w:ilvl="0" w:tplc="7396C77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51035"/>
    <w:multiLevelType w:val="hybridMultilevel"/>
    <w:tmpl w:val="31A84056"/>
    <w:lvl w:ilvl="0" w:tplc="1FFA3540">
      <w:start w:val="1"/>
      <w:numFmt w:val="decimal"/>
      <w:lvlText w:val="%1."/>
      <w:lvlJc w:val="left"/>
      <w:pPr>
        <w:ind w:left="360" w:hanging="360"/>
      </w:pPr>
      <w:rPr>
        <w:rFonts w:hint="default"/>
        <w:i w:val="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997153">
    <w:abstractNumId w:val="39"/>
  </w:num>
  <w:num w:numId="2" w16cid:durableId="1070541380">
    <w:abstractNumId w:val="1"/>
  </w:num>
  <w:num w:numId="3" w16cid:durableId="2115595261">
    <w:abstractNumId w:val="3"/>
  </w:num>
  <w:num w:numId="4" w16cid:durableId="1300106735">
    <w:abstractNumId w:val="27"/>
  </w:num>
  <w:num w:numId="5" w16cid:durableId="2145006082">
    <w:abstractNumId w:val="38"/>
  </w:num>
  <w:num w:numId="6" w16cid:durableId="1581406947">
    <w:abstractNumId w:val="47"/>
  </w:num>
  <w:num w:numId="7" w16cid:durableId="1933977581">
    <w:abstractNumId w:val="22"/>
  </w:num>
  <w:num w:numId="8" w16cid:durableId="479427333">
    <w:abstractNumId w:val="44"/>
  </w:num>
  <w:num w:numId="9" w16cid:durableId="1624188999">
    <w:abstractNumId w:val="11"/>
  </w:num>
  <w:num w:numId="10" w16cid:durableId="969632324">
    <w:abstractNumId w:val="19"/>
  </w:num>
  <w:num w:numId="11" w16cid:durableId="290867280">
    <w:abstractNumId w:val="35"/>
  </w:num>
  <w:num w:numId="12" w16cid:durableId="2040429264">
    <w:abstractNumId w:val="9"/>
  </w:num>
  <w:num w:numId="13" w16cid:durableId="1648313954">
    <w:abstractNumId w:val="32"/>
  </w:num>
  <w:num w:numId="14" w16cid:durableId="1425875720">
    <w:abstractNumId w:val="18"/>
  </w:num>
  <w:num w:numId="15" w16cid:durableId="1440762817">
    <w:abstractNumId w:val="23"/>
  </w:num>
  <w:num w:numId="16" w16cid:durableId="1925987055">
    <w:abstractNumId w:val="21"/>
  </w:num>
  <w:num w:numId="17" w16cid:durableId="725908509">
    <w:abstractNumId w:val="30"/>
  </w:num>
  <w:num w:numId="18" w16cid:durableId="835876989">
    <w:abstractNumId w:val="5"/>
  </w:num>
  <w:num w:numId="19" w16cid:durableId="209852153">
    <w:abstractNumId w:val="28"/>
  </w:num>
  <w:num w:numId="20" w16cid:durableId="1222598373">
    <w:abstractNumId w:val="46"/>
  </w:num>
  <w:num w:numId="21" w16cid:durableId="564533255">
    <w:abstractNumId w:val="31"/>
  </w:num>
  <w:num w:numId="22" w16cid:durableId="1652103555">
    <w:abstractNumId w:val="43"/>
  </w:num>
  <w:num w:numId="23" w16cid:durableId="1866793322">
    <w:abstractNumId w:val="10"/>
  </w:num>
  <w:num w:numId="24" w16cid:durableId="1496385082">
    <w:abstractNumId w:val="12"/>
  </w:num>
  <w:num w:numId="25" w16cid:durableId="2070306258">
    <w:abstractNumId w:val="41"/>
  </w:num>
  <w:num w:numId="26" w16cid:durableId="755594950">
    <w:abstractNumId w:val="33"/>
  </w:num>
  <w:num w:numId="27" w16cid:durableId="1163159651">
    <w:abstractNumId w:val="25"/>
  </w:num>
  <w:num w:numId="28" w16cid:durableId="1902862940">
    <w:abstractNumId w:val="15"/>
  </w:num>
  <w:num w:numId="29" w16cid:durableId="1410924672">
    <w:abstractNumId w:val="42"/>
  </w:num>
  <w:num w:numId="30" w16cid:durableId="1512641998">
    <w:abstractNumId w:val="20"/>
  </w:num>
  <w:num w:numId="31" w16cid:durableId="1495992668">
    <w:abstractNumId w:val="16"/>
  </w:num>
  <w:num w:numId="32" w16cid:durableId="538321990">
    <w:abstractNumId w:val="0"/>
  </w:num>
  <w:num w:numId="33" w16cid:durableId="478377349">
    <w:abstractNumId w:val="40"/>
  </w:num>
  <w:num w:numId="34" w16cid:durableId="961379100">
    <w:abstractNumId w:val="26"/>
  </w:num>
  <w:num w:numId="35" w16cid:durableId="1440292052">
    <w:abstractNumId w:val="7"/>
  </w:num>
  <w:num w:numId="36" w16cid:durableId="1212376356">
    <w:abstractNumId w:val="6"/>
  </w:num>
  <w:num w:numId="37" w16cid:durableId="1338726210">
    <w:abstractNumId w:val="13"/>
  </w:num>
  <w:num w:numId="38" w16cid:durableId="1570967908">
    <w:abstractNumId w:val="45"/>
  </w:num>
  <w:num w:numId="39" w16cid:durableId="1560359963">
    <w:abstractNumId w:val="14"/>
  </w:num>
  <w:num w:numId="40" w16cid:durableId="1196388294">
    <w:abstractNumId w:val="24"/>
  </w:num>
  <w:num w:numId="41" w16cid:durableId="711881363">
    <w:abstractNumId w:val="37"/>
  </w:num>
  <w:num w:numId="42" w16cid:durableId="277375170">
    <w:abstractNumId w:val="36"/>
  </w:num>
  <w:num w:numId="43" w16cid:durableId="1996257413">
    <w:abstractNumId w:val="34"/>
  </w:num>
  <w:num w:numId="44" w16cid:durableId="2130975183">
    <w:abstractNumId w:val="29"/>
  </w:num>
  <w:num w:numId="45" w16cid:durableId="1069303128">
    <w:abstractNumId w:val="4"/>
  </w:num>
  <w:num w:numId="46" w16cid:durableId="241110217">
    <w:abstractNumId w:val="8"/>
  </w:num>
  <w:num w:numId="47" w16cid:durableId="1307587096">
    <w:abstractNumId w:val="17"/>
  </w:num>
  <w:num w:numId="48" w16cid:durableId="108495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7B"/>
    <w:rsid w:val="00006997"/>
    <w:rsid w:val="00011AB5"/>
    <w:rsid w:val="000453E6"/>
    <w:rsid w:val="0007124B"/>
    <w:rsid w:val="000A4DE2"/>
    <w:rsid w:val="000B4514"/>
    <w:rsid w:val="000B6615"/>
    <w:rsid w:val="000C3DF7"/>
    <w:rsid w:val="00146793"/>
    <w:rsid w:val="00150A7B"/>
    <w:rsid w:val="001944B5"/>
    <w:rsid w:val="001A58FC"/>
    <w:rsid w:val="001E28DE"/>
    <w:rsid w:val="001F1B28"/>
    <w:rsid w:val="002001A1"/>
    <w:rsid w:val="00200F64"/>
    <w:rsid w:val="00257737"/>
    <w:rsid w:val="00274583"/>
    <w:rsid w:val="00274C67"/>
    <w:rsid w:val="002864A4"/>
    <w:rsid w:val="002F1132"/>
    <w:rsid w:val="002F5F98"/>
    <w:rsid w:val="00300C04"/>
    <w:rsid w:val="00381B60"/>
    <w:rsid w:val="003A65F0"/>
    <w:rsid w:val="003C234E"/>
    <w:rsid w:val="003C5D6D"/>
    <w:rsid w:val="0041196D"/>
    <w:rsid w:val="00473B0A"/>
    <w:rsid w:val="004759F8"/>
    <w:rsid w:val="0048457A"/>
    <w:rsid w:val="00514BE1"/>
    <w:rsid w:val="00531CB3"/>
    <w:rsid w:val="005448FE"/>
    <w:rsid w:val="00546514"/>
    <w:rsid w:val="00565C2E"/>
    <w:rsid w:val="00566EBD"/>
    <w:rsid w:val="00576466"/>
    <w:rsid w:val="00580FFF"/>
    <w:rsid w:val="00590BF0"/>
    <w:rsid w:val="005A1419"/>
    <w:rsid w:val="005C6B9B"/>
    <w:rsid w:val="005D7742"/>
    <w:rsid w:val="00620FEE"/>
    <w:rsid w:val="00622A8F"/>
    <w:rsid w:val="00633ADD"/>
    <w:rsid w:val="00645A97"/>
    <w:rsid w:val="0065144B"/>
    <w:rsid w:val="00654EB8"/>
    <w:rsid w:val="006572B1"/>
    <w:rsid w:val="006D3A7D"/>
    <w:rsid w:val="006E7907"/>
    <w:rsid w:val="006F5025"/>
    <w:rsid w:val="006F612B"/>
    <w:rsid w:val="007071EA"/>
    <w:rsid w:val="00717F34"/>
    <w:rsid w:val="007318B6"/>
    <w:rsid w:val="007412F8"/>
    <w:rsid w:val="00756B21"/>
    <w:rsid w:val="007646B1"/>
    <w:rsid w:val="0078754D"/>
    <w:rsid w:val="007A6FCB"/>
    <w:rsid w:val="007E172C"/>
    <w:rsid w:val="007F2767"/>
    <w:rsid w:val="00802D44"/>
    <w:rsid w:val="00802E16"/>
    <w:rsid w:val="00820B74"/>
    <w:rsid w:val="008226AE"/>
    <w:rsid w:val="0083210C"/>
    <w:rsid w:val="0084100D"/>
    <w:rsid w:val="00841106"/>
    <w:rsid w:val="0084792E"/>
    <w:rsid w:val="00891C6B"/>
    <w:rsid w:val="008A7EF2"/>
    <w:rsid w:val="008B1BEE"/>
    <w:rsid w:val="008C75F3"/>
    <w:rsid w:val="008F7BC7"/>
    <w:rsid w:val="00904DE6"/>
    <w:rsid w:val="00916F36"/>
    <w:rsid w:val="00930797"/>
    <w:rsid w:val="00935767"/>
    <w:rsid w:val="00956094"/>
    <w:rsid w:val="00966BDC"/>
    <w:rsid w:val="009711B2"/>
    <w:rsid w:val="00992579"/>
    <w:rsid w:val="009B11BB"/>
    <w:rsid w:val="009C3325"/>
    <w:rsid w:val="009C36F2"/>
    <w:rsid w:val="009D4FF7"/>
    <w:rsid w:val="009D5944"/>
    <w:rsid w:val="009F638D"/>
    <w:rsid w:val="009F7925"/>
    <w:rsid w:val="00A019E1"/>
    <w:rsid w:val="00A05F0B"/>
    <w:rsid w:val="00A16B32"/>
    <w:rsid w:val="00A216BF"/>
    <w:rsid w:val="00A308B4"/>
    <w:rsid w:val="00A40645"/>
    <w:rsid w:val="00A8174D"/>
    <w:rsid w:val="00A82AC0"/>
    <w:rsid w:val="00A9575E"/>
    <w:rsid w:val="00AD2C9A"/>
    <w:rsid w:val="00AF128C"/>
    <w:rsid w:val="00B07FFE"/>
    <w:rsid w:val="00B1061C"/>
    <w:rsid w:val="00B157B5"/>
    <w:rsid w:val="00B16D89"/>
    <w:rsid w:val="00B17F6C"/>
    <w:rsid w:val="00B20ADC"/>
    <w:rsid w:val="00B473CE"/>
    <w:rsid w:val="00B5044A"/>
    <w:rsid w:val="00B94186"/>
    <w:rsid w:val="00BA3210"/>
    <w:rsid w:val="00BC30DF"/>
    <w:rsid w:val="00BF2938"/>
    <w:rsid w:val="00C0033E"/>
    <w:rsid w:val="00C37C42"/>
    <w:rsid w:val="00C55F86"/>
    <w:rsid w:val="00C81DBC"/>
    <w:rsid w:val="00C8412E"/>
    <w:rsid w:val="00CD58C1"/>
    <w:rsid w:val="00CE2D15"/>
    <w:rsid w:val="00CE6872"/>
    <w:rsid w:val="00CF5BCC"/>
    <w:rsid w:val="00D104D0"/>
    <w:rsid w:val="00D221FE"/>
    <w:rsid w:val="00D37C2B"/>
    <w:rsid w:val="00D63B22"/>
    <w:rsid w:val="00D654F8"/>
    <w:rsid w:val="00D75F06"/>
    <w:rsid w:val="00D779E1"/>
    <w:rsid w:val="00DB7AA3"/>
    <w:rsid w:val="00DE4C60"/>
    <w:rsid w:val="00DF1EF2"/>
    <w:rsid w:val="00DF5B93"/>
    <w:rsid w:val="00DF5F6C"/>
    <w:rsid w:val="00DF7287"/>
    <w:rsid w:val="00E034FB"/>
    <w:rsid w:val="00E134A7"/>
    <w:rsid w:val="00E42949"/>
    <w:rsid w:val="00E46B93"/>
    <w:rsid w:val="00E61561"/>
    <w:rsid w:val="00E73375"/>
    <w:rsid w:val="00E765BF"/>
    <w:rsid w:val="00EC2E26"/>
    <w:rsid w:val="00EE4B21"/>
    <w:rsid w:val="00F101B1"/>
    <w:rsid w:val="00F143D5"/>
    <w:rsid w:val="00F216A5"/>
    <w:rsid w:val="00F4443A"/>
    <w:rsid w:val="00F619C0"/>
    <w:rsid w:val="00F75CEA"/>
    <w:rsid w:val="00F94AC2"/>
    <w:rsid w:val="00FB1B23"/>
    <w:rsid w:val="00FC761C"/>
    <w:rsid w:val="00FC7F58"/>
    <w:rsid w:val="00FE401B"/>
    <w:rsid w:val="00FF1571"/>
    <w:rsid w:val="00FF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4FEB"/>
  <w15:chartTrackingRefBased/>
  <w15:docId w15:val="{75A01D64-0BE6-5D41-A46C-4205CECF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1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50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A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7B"/>
    <w:rPr>
      <w:rFonts w:eastAsiaTheme="majorEastAsia" w:cstheme="majorBidi"/>
      <w:color w:val="272727" w:themeColor="text1" w:themeTint="D8"/>
    </w:rPr>
  </w:style>
  <w:style w:type="paragraph" w:styleId="Title">
    <w:name w:val="Title"/>
    <w:basedOn w:val="Normal"/>
    <w:next w:val="Normal"/>
    <w:link w:val="TitleChar"/>
    <w:uiPriority w:val="10"/>
    <w:qFormat/>
    <w:rsid w:val="00150A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7B"/>
    <w:pPr>
      <w:spacing w:before="160"/>
      <w:jc w:val="center"/>
    </w:pPr>
    <w:rPr>
      <w:i/>
      <w:iCs/>
      <w:color w:val="404040" w:themeColor="text1" w:themeTint="BF"/>
    </w:rPr>
  </w:style>
  <w:style w:type="character" w:customStyle="1" w:styleId="QuoteChar">
    <w:name w:val="Quote Char"/>
    <w:basedOn w:val="DefaultParagraphFont"/>
    <w:link w:val="Quote"/>
    <w:uiPriority w:val="29"/>
    <w:rsid w:val="00150A7B"/>
    <w:rPr>
      <w:i/>
      <w:iCs/>
      <w:color w:val="404040" w:themeColor="text1" w:themeTint="BF"/>
    </w:rPr>
  </w:style>
  <w:style w:type="paragraph" w:styleId="ListParagraph">
    <w:name w:val="List Paragraph"/>
    <w:basedOn w:val="Normal"/>
    <w:uiPriority w:val="34"/>
    <w:qFormat/>
    <w:rsid w:val="00150A7B"/>
    <w:pPr>
      <w:ind w:left="720"/>
      <w:contextualSpacing/>
    </w:pPr>
  </w:style>
  <w:style w:type="character" w:styleId="IntenseEmphasis">
    <w:name w:val="Intense Emphasis"/>
    <w:basedOn w:val="DefaultParagraphFont"/>
    <w:uiPriority w:val="21"/>
    <w:qFormat/>
    <w:rsid w:val="00150A7B"/>
    <w:rPr>
      <w:i/>
      <w:iCs/>
      <w:color w:val="0F4761" w:themeColor="accent1" w:themeShade="BF"/>
    </w:rPr>
  </w:style>
  <w:style w:type="paragraph" w:styleId="IntenseQuote">
    <w:name w:val="Intense Quote"/>
    <w:basedOn w:val="Normal"/>
    <w:next w:val="Normal"/>
    <w:link w:val="IntenseQuoteChar"/>
    <w:uiPriority w:val="30"/>
    <w:qFormat/>
    <w:rsid w:val="00150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A7B"/>
    <w:rPr>
      <w:i/>
      <w:iCs/>
      <w:color w:val="0F4761" w:themeColor="accent1" w:themeShade="BF"/>
    </w:rPr>
  </w:style>
  <w:style w:type="character" w:styleId="IntenseReference">
    <w:name w:val="Intense Reference"/>
    <w:basedOn w:val="DefaultParagraphFont"/>
    <w:uiPriority w:val="32"/>
    <w:qFormat/>
    <w:rsid w:val="00150A7B"/>
    <w:rPr>
      <w:b/>
      <w:bCs/>
      <w:smallCaps/>
      <w:color w:val="0F4761" w:themeColor="accent1" w:themeShade="BF"/>
      <w:spacing w:val="5"/>
    </w:rPr>
  </w:style>
  <w:style w:type="character" w:styleId="Strong">
    <w:name w:val="Strong"/>
    <w:basedOn w:val="DefaultParagraphFont"/>
    <w:uiPriority w:val="22"/>
    <w:qFormat/>
    <w:rsid w:val="00C37C42"/>
    <w:rPr>
      <w:b/>
      <w:bCs/>
    </w:rPr>
  </w:style>
  <w:style w:type="character" w:styleId="Emphasis">
    <w:name w:val="Emphasis"/>
    <w:basedOn w:val="DefaultParagraphFont"/>
    <w:uiPriority w:val="20"/>
    <w:qFormat/>
    <w:rsid w:val="00590BF0"/>
    <w:rPr>
      <w:i/>
      <w:iCs/>
    </w:rPr>
  </w:style>
  <w:style w:type="character" w:styleId="Hyperlink">
    <w:name w:val="Hyperlink"/>
    <w:basedOn w:val="DefaultParagraphFont"/>
    <w:uiPriority w:val="99"/>
    <w:unhideWhenUsed/>
    <w:rsid w:val="006D3A7D"/>
    <w:rPr>
      <w:color w:val="467886" w:themeColor="hyperlink"/>
      <w:u w:val="single"/>
    </w:rPr>
  </w:style>
  <w:style w:type="character" w:styleId="UnresolvedMention">
    <w:name w:val="Unresolved Mention"/>
    <w:basedOn w:val="DefaultParagraphFont"/>
    <w:uiPriority w:val="99"/>
    <w:semiHidden/>
    <w:unhideWhenUsed/>
    <w:rsid w:val="006D3A7D"/>
    <w:rPr>
      <w:color w:val="605E5C"/>
      <w:shd w:val="clear" w:color="auto" w:fill="E1DFDD"/>
    </w:rPr>
  </w:style>
  <w:style w:type="character" w:styleId="FollowedHyperlink">
    <w:name w:val="FollowedHyperlink"/>
    <w:basedOn w:val="DefaultParagraphFont"/>
    <w:uiPriority w:val="99"/>
    <w:semiHidden/>
    <w:unhideWhenUsed/>
    <w:rsid w:val="006D3A7D"/>
    <w:rPr>
      <w:color w:val="96607D" w:themeColor="followedHyperlink"/>
      <w:u w:val="single"/>
    </w:rPr>
  </w:style>
  <w:style w:type="paragraph" w:styleId="NormalWeb">
    <w:name w:val="Normal (Web)"/>
    <w:basedOn w:val="Normal"/>
    <w:uiPriority w:val="99"/>
    <w:semiHidden/>
    <w:unhideWhenUsed/>
    <w:rsid w:val="008B1BEE"/>
    <w:pPr>
      <w:spacing w:before="100" w:beforeAutospacing="1" w:after="100" w:afterAutospacing="1"/>
    </w:pPr>
  </w:style>
  <w:style w:type="table" w:styleId="TableGrid">
    <w:name w:val="Table Grid"/>
    <w:basedOn w:val="TableNormal"/>
    <w:uiPriority w:val="39"/>
    <w:rsid w:val="00657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5292">
      <w:bodyDiv w:val="1"/>
      <w:marLeft w:val="0"/>
      <w:marRight w:val="0"/>
      <w:marTop w:val="0"/>
      <w:marBottom w:val="0"/>
      <w:divBdr>
        <w:top w:val="none" w:sz="0" w:space="0" w:color="auto"/>
        <w:left w:val="none" w:sz="0" w:space="0" w:color="auto"/>
        <w:bottom w:val="none" w:sz="0" w:space="0" w:color="auto"/>
        <w:right w:val="none" w:sz="0" w:space="0" w:color="auto"/>
      </w:divBdr>
      <w:divsChild>
        <w:div w:id="1263535384">
          <w:marLeft w:val="0"/>
          <w:marRight w:val="0"/>
          <w:marTop w:val="0"/>
          <w:marBottom w:val="0"/>
          <w:divBdr>
            <w:top w:val="none" w:sz="0" w:space="0" w:color="auto"/>
            <w:left w:val="none" w:sz="0" w:space="0" w:color="auto"/>
            <w:bottom w:val="none" w:sz="0" w:space="0" w:color="auto"/>
            <w:right w:val="none" w:sz="0" w:space="0" w:color="auto"/>
          </w:divBdr>
          <w:divsChild>
            <w:div w:id="2133597154">
              <w:marLeft w:val="0"/>
              <w:marRight w:val="0"/>
              <w:marTop w:val="0"/>
              <w:marBottom w:val="0"/>
              <w:divBdr>
                <w:top w:val="none" w:sz="0" w:space="0" w:color="auto"/>
                <w:left w:val="none" w:sz="0" w:space="0" w:color="auto"/>
                <w:bottom w:val="none" w:sz="0" w:space="0" w:color="auto"/>
                <w:right w:val="none" w:sz="0" w:space="0" w:color="auto"/>
              </w:divBdr>
              <w:divsChild>
                <w:div w:id="1184785024">
                  <w:marLeft w:val="0"/>
                  <w:marRight w:val="0"/>
                  <w:marTop w:val="0"/>
                  <w:marBottom w:val="0"/>
                  <w:divBdr>
                    <w:top w:val="none" w:sz="0" w:space="0" w:color="auto"/>
                    <w:left w:val="none" w:sz="0" w:space="0" w:color="auto"/>
                    <w:bottom w:val="none" w:sz="0" w:space="0" w:color="auto"/>
                    <w:right w:val="none" w:sz="0" w:space="0" w:color="auto"/>
                  </w:divBdr>
                  <w:divsChild>
                    <w:div w:id="1268200203">
                      <w:marLeft w:val="0"/>
                      <w:marRight w:val="0"/>
                      <w:marTop w:val="0"/>
                      <w:marBottom w:val="0"/>
                      <w:divBdr>
                        <w:top w:val="none" w:sz="0" w:space="0" w:color="auto"/>
                        <w:left w:val="none" w:sz="0" w:space="0" w:color="auto"/>
                        <w:bottom w:val="none" w:sz="0" w:space="0" w:color="auto"/>
                        <w:right w:val="none" w:sz="0" w:space="0" w:color="auto"/>
                      </w:divBdr>
                      <w:divsChild>
                        <w:div w:id="702824594">
                          <w:marLeft w:val="0"/>
                          <w:marRight w:val="0"/>
                          <w:marTop w:val="0"/>
                          <w:marBottom w:val="0"/>
                          <w:divBdr>
                            <w:top w:val="none" w:sz="0" w:space="0" w:color="auto"/>
                            <w:left w:val="none" w:sz="0" w:space="0" w:color="auto"/>
                            <w:bottom w:val="none" w:sz="0" w:space="0" w:color="auto"/>
                            <w:right w:val="none" w:sz="0" w:space="0" w:color="auto"/>
                          </w:divBdr>
                          <w:divsChild>
                            <w:div w:id="912161311">
                              <w:marLeft w:val="0"/>
                              <w:marRight w:val="0"/>
                              <w:marTop w:val="0"/>
                              <w:marBottom w:val="0"/>
                              <w:divBdr>
                                <w:top w:val="none" w:sz="0" w:space="0" w:color="auto"/>
                                <w:left w:val="none" w:sz="0" w:space="0" w:color="auto"/>
                                <w:bottom w:val="none" w:sz="0" w:space="0" w:color="auto"/>
                                <w:right w:val="none" w:sz="0" w:space="0" w:color="auto"/>
                              </w:divBdr>
                              <w:divsChild>
                                <w:div w:id="1488009428">
                                  <w:marLeft w:val="0"/>
                                  <w:marRight w:val="0"/>
                                  <w:marTop w:val="0"/>
                                  <w:marBottom w:val="0"/>
                                  <w:divBdr>
                                    <w:top w:val="none" w:sz="0" w:space="0" w:color="auto"/>
                                    <w:left w:val="none" w:sz="0" w:space="0" w:color="auto"/>
                                    <w:bottom w:val="none" w:sz="0" w:space="0" w:color="auto"/>
                                    <w:right w:val="none" w:sz="0" w:space="0" w:color="auto"/>
                                  </w:divBdr>
                                  <w:divsChild>
                                    <w:div w:id="2085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76500">
      <w:bodyDiv w:val="1"/>
      <w:marLeft w:val="0"/>
      <w:marRight w:val="0"/>
      <w:marTop w:val="0"/>
      <w:marBottom w:val="0"/>
      <w:divBdr>
        <w:top w:val="none" w:sz="0" w:space="0" w:color="auto"/>
        <w:left w:val="none" w:sz="0" w:space="0" w:color="auto"/>
        <w:bottom w:val="none" w:sz="0" w:space="0" w:color="auto"/>
        <w:right w:val="none" w:sz="0" w:space="0" w:color="auto"/>
      </w:divBdr>
      <w:divsChild>
        <w:div w:id="1606574013">
          <w:marLeft w:val="0"/>
          <w:marRight w:val="0"/>
          <w:marTop w:val="0"/>
          <w:marBottom w:val="0"/>
          <w:divBdr>
            <w:top w:val="none" w:sz="0" w:space="0" w:color="auto"/>
            <w:left w:val="none" w:sz="0" w:space="0" w:color="auto"/>
            <w:bottom w:val="none" w:sz="0" w:space="0" w:color="auto"/>
            <w:right w:val="none" w:sz="0" w:space="0" w:color="auto"/>
          </w:divBdr>
          <w:divsChild>
            <w:div w:id="145248221">
              <w:marLeft w:val="0"/>
              <w:marRight w:val="0"/>
              <w:marTop w:val="0"/>
              <w:marBottom w:val="0"/>
              <w:divBdr>
                <w:top w:val="none" w:sz="0" w:space="0" w:color="auto"/>
                <w:left w:val="none" w:sz="0" w:space="0" w:color="auto"/>
                <w:bottom w:val="none" w:sz="0" w:space="0" w:color="auto"/>
                <w:right w:val="none" w:sz="0" w:space="0" w:color="auto"/>
              </w:divBdr>
              <w:divsChild>
                <w:div w:id="1429497760">
                  <w:marLeft w:val="0"/>
                  <w:marRight w:val="0"/>
                  <w:marTop w:val="0"/>
                  <w:marBottom w:val="0"/>
                  <w:divBdr>
                    <w:top w:val="none" w:sz="0" w:space="0" w:color="auto"/>
                    <w:left w:val="none" w:sz="0" w:space="0" w:color="auto"/>
                    <w:bottom w:val="none" w:sz="0" w:space="0" w:color="auto"/>
                    <w:right w:val="none" w:sz="0" w:space="0" w:color="auto"/>
                  </w:divBdr>
                  <w:divsChild>
                    <w:div w:id="1612013880">
                      <w:marLeft w:val="0"/>
                      <w:marRight w:val="0"/>
                      <w:marTop w:val="0"/>
                      <w:marBottom w:val="0"/>
                      <w:divBdr>
                        <w:top w:val="none" w:sz="0" w:space="0" w:color="auto"/>
                        <w:left w:val="none" w:sz="0" w:space="0" w:color="auto"/>
                        <w:bottom w:val="none" w:sz="0" w:space="0" w:color="auto"/>
                        <w:right w:val="none" w:sz="0" w:space="0" w:color="auto"/>
                      </w:divBdr>
                      <w:divsChild>
                        <w:div w:id="453645663">
                          <w:marLeft w:val="0"/>
                          <w:marRight w:val="0"/>
                          <w:marTop w:val="0"/>
                          <w:marBottom w:val="0"/>
                          <w:divBdr>
                            <w:top w:val="none" w:sz="0" w:space="0" w:color="auto"/>
                            <w:left w:val="none" w:sz="0" w:space="0" w:color="auto"/>
                            <w:bottom w:val="none" w:sz="0" w:space="0" w:color="auto"/>
                            <w:right w:val="none" w:sz="0" w:space="0" w:color="auto"/>
                          </w:divBdr>
                          <w:divsChild>
                            <w:div w:id="181631332">
                              <w:marLeft w:val="0"/>
                              <w:marRight w:val="0"/>
                              <w:marTop w:val="0"/>
                              <w:marBottom w:val="0"/>
                              <w:divBdr>
                                <w:top w:val="none" w:sz="0" w:space="0" w:color="auto"/>
                                <w:left w:val="none" w:sz="0" w:space="0" w:color="auto"/>
                                <w:bottom w:val="none" w:sz="0" w:space="0" w:color="auto"/>
                                <w:right w:val="none" w:sz="0" w:space="0" w:color="auto"/>
                              </w:divBdr>
                              <w:divsChild>
                                <w:div w:id="415175915">
                                  <w:marLeft w:val="0"/>
                                  <w:marRight w:val="0"/>
                                  <w:marTop w:val="0"/>
                                  <w:marBottom w:val="0"/>
                                  <w:divBdr>
                                    <w:top w:val="none" w:sz="0" w:space="0" w:color="auto"/>
                                    <w:left w:val="none" w:sz="0" w:space="0" w:color="auto"/>
                                    <w:bottom w:val="none" w:sz="0" w:space="0" w:color="auto"/>
                                    <w:right w:val="none" w:sz="0" w:space="0" w:color="auto"/>
                                  </w:divBdr>
                                  <w:divsChild>
                                    <w:div w:id="15941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69125">
      <w:bodyDiv w:val="1"/>
      <w:marLeft w:val="0"/>
      <w:marRight w:val="0"/>
      <w:marTop w:val="0"/>
      <w:marBottom w:val="0"/>
      <w:divBdr>
        <w:top w:val="none" w:sz="0" w:space="0" w:color="auto"/>
        <w:left w:val="none" w:sz="0" w:space="0" w:color="auto"/>
        <w:bottom w:val="none" w:sz="0" w:space="0" w:color="auto"/>
        <w:right w:val="none" w:sz="0" w:space="0" w:color="auto"/>
      </w:divBdr>
    </w:div>
    <w:div w:id="347566207">
      <w:bodyDiv w:val="1"/>
      <w:marLeft w:val="0"/>
      <w:marRight w:val="0"/>
      <w:marTop w:val="0"/>
      <w:marBottom w:val="0"/>
      <w:divBdr>
        <w:top w:val="none" w:sz="0" w:space="0" w:color="auto"/>
        <w:left w:val="none" w:sz="0" w:space="0" w:color="auto"/>
        <w:bottom w:val="none" w:sz="0" w:space="0" w:color="auto"/>
        <w:right w:val="none" w:sz="0" w:space="0" w:color="auto"/>
      </w:divBdr>
    </w:div>
    <w:div w:id="397676476">
      <w:bodyDiv w:val="1"/>
      <w:marLeft w:val="0"/>
      <w:marRight w:val="0"/>
      <w:marTop w:val="0"/>
      <w:marBottom w:val="0"/>
      <w:divBdr>
        <w:top w:val="none" w:sz="0" w:space="0" w:color="auto"/>
        <w:left w:val="none" w:sz="0" w:space="0" w:color="auto"/>
        <w:bottom w:val="none" w:sz="0" w:space="0" w:color="auto"/>
        <w:right w:val="none" w:sz="0" w:space="0" w:color="auto"/>
      </w:divBdr>
    </w:div>
    <w:div w:id="416943701">
      <w:bodyDiv w:val="1"/>
      <w:marLeft w:val="0"/>
      <w:marRight w:val="0"/>
      <w:marTop w:val="0"/>
      <w:marBottom w:val="0"/>
      <w:divBdr>
        <w:top w:val="none" w:sz="0" w:space="0" w:color="auto"/>
        <w:left w:val="none" w:sz="0" w:space="0" w:color="auto"/>
        <w:bottom w:val="none" w:sz="0" w:space="0" w:color="auto"/>
        <w:right w:val="none" w:sz="0" w:space="0" w:color="auto"/>
      </w:divBdr>
    </w:div>
    <w:div w:id="716272703">
      <w:bodyDiv w:val="1"/>
      <w:marLeft w:val="0"/>
      <w:marRight w:val="0"/>
      <w:marTop w:val="0"/>
      <w:marBottom w:val="0"/>
      <w:divBdr>
        <w:top w:val="none" w:sz="0" w:space="0" w:color="auto"/>
        <w:left w:val="none" w:sz="0" w:space="0" w:color="auto"/>
        <w:bottom w:val="none" w:sz="0" w:space="0" w:color="auto"/>
        <w:right w:val="none" w:sz="0" w:space="0" w:color="auto"/>
      </w:divBdr>
    </w:div>
    <w:div w:id="735400492">
      <w:bodyDiv w:val="1"/>
      <w:marLeft w:val="0"/>
      <w:marRight w:val="0"/>
      <w:marTop w:val="0"/>
      <w:marBottom w:val="0"/>
      <w:divBdr>
        <w:top w:val="none" w:sz="0" w:space="0" w:color="auto"/>
        <w:left w:val="none" w:sz="0" w:space="0" w:color="auto"/>
        <w:bottom w:val="none" w:sz="0" w:space="0" w:color="auto"/>
        <w:right w:val="none" w:sz="0" w:space="0" w:color="auto"/>
      </w:divBdr>
    </w:div>
    <w:div w:id="746345673">
      <w:bodyDiv w:val="1"/>
      <w:marLeft w:val="0"/>
      <w:marRight w:val="0"/>
      <w:marTop w:val="0"/>
      <w:marBottom w:val="0"/>
      <w:divBdr>
        <w:top w:val="none" w:sz="0" w:space="0" w:color="auto"/>
        <w:left w:val="none" w:sz="0" w:space="0" w:color="auto"/>
        <w:bottom w:val="none" w:sz="0" w:space="0" w:color="auto"/>
        <w:right w:val="none" w:sz="0" w:space="0" w:color="auto"/>
      </w:divBdr>
    </w:div>
    <w:div w:id="898783933">
      <w:bodyDiv w:val="1"/>
      <w:marLeft w:val="0"/>
      <w:marRight w:val="0"/>
      <w:marTop w:val="0"/>
      <w:marBottom w:val="0"/>
      <w:divBdr>
        <w:top w:val="none" w:sz="0" w:space="0" w:color="auto"/>
        <w:left w:val="none" w:sz="0" w:space="0" w:color="auto"/>
        <w:bottom w:val="none" w:sz="0" w:space="0" w:color="auto"/>
        <w:right w:val="none" w:sz="0" w:space="0" w:color="auto"/>
      </w:divBdr>
    </w:div>
    <w:div w:id="916985260">
      <w:bodyDiv w:val="1"/>
      <w:marLeft w:val="0"/>
      <w:marRight w:val="0"/>
      <w:marTop w:val="0"/>
      <w:marBottom w:val="0"/>
      <w:divBdr>
        <w:top w:val="none" w:sz="0" w:space="0" w:color="auto"/>
        <w:left w:val="none" w:sz="0" w:space="0" w:color="auto"/>
        <w:bottom w:val="none" w:sz="0" w:space="0" w:color="auto"/>
        <w:right w:val="none" w:sz="0" w:space="0" w:color="auto"/>
      </w:divBdr>
    </w:div>
    <w:div w:id="1090396991">
      <w:bodyDiv w:val="1"/>
      <w:marLeft w:val="0"/>
      <w:marRight w:val="0"/>
      <w:marTop w:val="0"/>
      <w:marBottom w:val="0"/>
      <w:divBdr>
        <w:top w:val="none" w:sz="0" w:space="0" w:color="auto"/>
        <w:left w:val="none" w:sz="0" w:space="0" w:color="auto"/>
        <w:bottom w:val="none" w:sz="0" w:space="0" w:color="auto"/>
        <w:right w:val="none" w:sz="0" w:space="0" w:color="auto"/>
      </w:divBdr>
    </w:div>
    <w:div w:id="1094326031">
      <w:bodyDiv w:val="1"/>
      <w:marLeft w:val="0"/>
      <w:marRight w:val="0"/>
      <w:marTop w:val="0"/>
      <w:marBottom w:val="0"/>
      <w:divBdr>
        <w:top w:val="none" w:sz="0" w:space="0" w:color="auto"/>
        <w:left w:val="none" w:sz="0" w:space="0" w:color="auto"/>
        <w:bottom w:val="none" w:sz="0" w:space="0" w:color="auto"/>
        <w:right w:val="none" w:sz="0" w:space="0" w:color="auto"/>
      </w:divBdr>
    </w:div>
    <w:div w:id="1097402972">
      <w:bodyDiv w:val="1"/>
      <w:marLeft w:val="0"/>
      <w:marRight w:val="0"/>
      <w:marTop w:val="0"/>
      <w:marBottom w:val="0"/>
      <w:divBdr>
        <w:top w:val="none" w:sz="0" w:space="0" w:color="auto"/>
        <w:left w:val="none" w:sz="0" w:space="0" w:color="auto"/>
        <w:bottom w:val="none" w:sz="0" w:space="0" w:color="auto"/>
        <w:right w:val="none" w:sz="0" w:space="0" w:color="auto"/>
      </w:divBdr>
    </w:div>
    <w:div w:id="1139880214">
      <w:bodyDiv w:val="1"/>
      <w:marLeft w:val="0"/>
      <w:marRight w:val="0"/>
      <w:marTop w:val="0"/>
      <w:marBottom w:val="0"/>
      <w:divBdr>
        <w:top w:val="none" w:sz="0" w:space="0" w:color="auto"/>
        <w:left w:val="none" w:sz="0" w:space="0" w:color="auto"/>
        <w:bottom w:val="none" w:sz="0" w:space="0" w:color="auto"/>
        <w:right w:val="none" w:sz="0" w:space="0" w:color="auto"/>
      </w:divBdr>
      <w:divsChild>
        <w:div w:id="366565320">
          <w:marLeft w:val="0"/>
          <w:marRight w:val="0"/>
          <w:marTop w:val="0"/>
          <w:marBottom w:val="0"/>
          <w:divBdr>
            <w:top w:val="none" w:sz="0" w:space="0" w:color="auto"/>
            <w:left w:val="none" w:sz="0" w:space="0" w:color="auto"/>
            <w:bottom w:val="none" w:sz="0" w:space="0" w:color="auto"/>
            <w:right w:val="none" w:sz="0" w:space="0" w:color="auto"/>
          </w:divBdr>
          <w:divsChild>
            <w:div w:id="2089185275">
              <w:marLeft w:val="0"/>
              <w:marRight w:val="0"/>
              <w:marTop w:val="0"/>
              <w:marBottom w:val="0"/>
              <w:divBdr>
                <w:top w:val="none" w:sz="0" w:space="0" w:color="auto"/>
                <w:left w:val="none" w:sz="0" w:space="0" w:color="auto"/>
                <w:bottom w:val="none" w:sz="0" w:space="0" w:color="auto"/>
                <w:right w:val="none" w:sz="0" w:space="0" w:color="auto"/>
              </w:divBdr>
              <w:divsChild>
                <w:div w:id="2093504822">
                  <w:marLeft w:val="0"/>
                  <w:marRight w:val="0"/>
                  <w:marTop w:val="0"/>
                  <w:marBottom w:val="0"/>
                  <w:divBdr>
                    <w:top w:val="none" w:sz="0" w:space="0" w:color="auto"/>
                    <w:left w:val="none" w:sz="0" w:space="0" w:color="auto"/>
                    <w:bottom w:val="none" w:sz="0" w:space="0" w:color="auto"/>
                    <w:right w:val="none" w:sz="0" w:space="0" w:color="auto"/>
                  </w:divBdr>
                  <w:divsChild>
                    <w:div w:id="1560559467">
                      <w:marLeft w:val="0"/>
                      <w:marRight w:val="0"/>
                      <w:marTop w:val="0"/>
                      <w:marBottom w:val="0"/>
                      <w:divBdr>
                        <w:top w:val="none" w:sz="0" w:space="0" w:color="auto"/>
                        <w:left w:val="none" w:sz="0" w:space="0" w:color="auto"/>
                        <w:bottom w:val="none" w:sz="0" w:space="0" w:color="auto"/>
                        <w:right w:val="none" w:sz="0" w:space="0" w:color="auto"/>
                      </w:divBdr>
                      <w:divsChild>
                        <w:div w:id="710804579">
                          <w:marLeft w:val="0"/>
                          <w:marRight w:val="0"/>
                          <w:marTop w:val="0"/>
                          <w:marBottom w:val="0"/>
                          <w:divBdr>
                            <w:top w:val="none" w:sz="0" w:space="0" w:color="auto"/>
                            <w:left w:val="none" w:sz="0" w:space="0" w:color="auto"/>
                            <w:bottom w:val="none" w:sz="0" w:space="0" w:color="auto"/>
                            <w:right w:val="none" w:sz="0" w:space="0" w:color="auto"/>
                          </w:divBdr>
                          <w:divsChild>
                            <w:div w:id="1380126375">
                              <w:marLeft w:val="0"/>
                              <w:marRight w:val="0"/>
                              <w:marTop w:val="0"/>
                              <w:marBottom w:val="0"/>
                              <w:divBdr>
                                <w:top w:val="none" w:sz="0" w:space="0" w:color="auto"/>
                                <w:left w:val="none" w:sz="0" w:space="0" w:color="auto"/>
                                <w:bottom w:val="none" w:sz="0" w:space="0" w:color="auto"/>
                                <w:right w:val="none" w:sz="0" w:space="0" w:color="auto"/>
                              </w:divBdr>
                              <w:divsChild>
                                <w:div w:id="1806583505">
                                  <w:marLeft w:val="0"/>
                                  <w:marRight w:val="0"/>
                                  <w:marTop w:val="0"/>
                                  <w:marBottom w:val="0"/>
                                  <w:divBdr>
                                    <w:top w:val="none" w:sz="0" w:space="0" w:color="auto"/>
                                    <w:left w:val="none" w:sz="0" w:space="0" w:color="auto"/>
                                    <w:bottom w:val="none" w:sz="0" w:space="0" w:color="auto"/>
                                    <w:right w:val="none" w:sz="0" w:space="0" w:color="auto"/>
                                  </w:divBdr>
                                  <w:divsChild>
                                    <w:div w:id="15451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418680">
      <w:bodyDiv w:val="1"/>
      <w:marLeft w:val="0"/>
      <w:marRight w:val="0"/>
      <w:marTop w:val="0"/>
      <w:marBottom w:val="0"/>
      <w:divBdr>
        <w:top w:val="none" w:sz="0" w:space="0" w:color="auto"/>
        <w:left w:val="none" w:sz="0" w:space="0" w:color="auto"/>
        <w:bottom w:val="none" w:sz="0" w:space="0" w:color="auto"/>
        <w:right w:val="none" w:sz="0" w:space="0" w:color="auto"/>
      </w:divBdr>
    </w:div>
    <w:div w:id="1165828695">
      <w:bodyDiv w:val="1"/>
      <w:marLeft w:val="0"/>
      <w:marRight w:val="0"/>
      <w:marTop w:val="0"/>
      <w:marBottom w:val="0"/>
      <w:divBdr>
        <w:top w:val="none" w:sz="0" w:space="0" w:color="auto"/>
        <w:left w:val="none" w:sz="0" w:space="0" w:color="auto"/>
        <w:bottom w:val="none" w:sz="0" w:space="0" w:color="auto"/>
        <w:right w:val="none" w:sz="0" w:space="0" w:color="auto"/>
      </w:divBdr>
    </w:div>
    <w:div w:id="1190487774">
      <w:bodyDiv w:val="1"/>
      <w:marLeft w:val="0"/>
      <w:marRight w:val="0"/>
      <w:marTop w:val="0"/>
      <w:marBottom w:val="0"/>
      <w:divBdr>
        <w:top w:val="none" w:sz="0" w:space="0" w:color="auto"/>
        <w:left w:val="none" w:sz="0" w:space="0" w:color="auto"/>
        <w:bottom w:val="none" w:sz="0" w:space="0" w:color="auto"/>
        <w:right w:val="none" w:sz="0" w:space="0" w:color="auto"/>
      </w:divBdr>
      <w:divsChild>
        <w:div w:id="18324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996308">
      <w:bodyDiv w:val="1"/>
      <w:marLeft w:val="0"/>
      <w:marRight w:val="0"/>
      <w:marTop w:val="0"/>
      <w:marBottom w:val="0"/>
      <w:divBdr>
        <w:top w:val="none" w:sz="0" w:space="0" w:color="auto"/>
        <w:left w:val="none" w:sz="0" w:space="0" w:color="auto"/>
        <w:bottom w:val="none" w:sz="0" w:space="0" w:color="auto"/>
        <w:right w:val="none" w:sz="0" w:space="0" w:color="auto"/>
      </w:divBdr>
    </w:div>
    <w:div w:id="1266771442">
      <w:bodyDiv w:val="1"/>
      <w:marLeft w:val="0"/>
      <w:marRight w:val="0"/>
      <w:marTop w:val="0"/>
      <w:marBottom w:val="0"/>
      <w:divBdr>
        <w:top w:val="none" w:sz="0" w:space="0" w:color="auto"/>
        <w:left w:val="none" w:sz="0" w:space="0" w:color="auto"/>
        <w:bottom w:val="none" w:sz="0" w:space="0" w:color="auto"/>
        <w:right w:val="none" w:sz="0" w:space="0" w:color="auto"/>
      </w:divBdr>
      <w:divsChild>
        <w:div w:id="649288522">
          <w:marLeft w:val="0"/>
          <w:marRight w:val="0"/>
          <w:marTop w:val="0"/>
          <w:marBottom w:val="0"/>
          <w:divBdr>
            <w:top w:val="none" w:sz="0" w:space="0" w:color="auto"/>
            <w:left w:val="none" w:sz="0" w:space="0" w:color="auto"/>
            <w:bottom w:val="none" w:sz="0" w:space="0" w:color="auto"/>
            <w:right w:val="none" w:sz="0" w:space="0" w:color="auto"/>
          </w:divBdr>
          <w:divsChild>
            <w:div w:id="143551533">
              <w:marLeft w:val="0"/>
              <w:marRight w:val="0"/>
              <w:marTop w:val="0"/>
              <w:marBottom w:val="0"/>
              <w:divBdr>
                <w:top w:val="none" w:sz="0" w:space="0" w:color="auto"/>
                <w:left w:val="none" w:sz="0" w:space="0" w:color="auto"/>
                <w:bottom w:val="none" w:sz="0" w:space="0" w:color="auto"/>
                <w:right w:val="none" w:sz="0" w:space="0" w:color="auto"/>
              </w:divBdr>
              <w:divsChild>
                <w:div w:id="585189738">
                  <w:marLeft w:val="0"/>
                  <w:marRight w:val="0"/>
                  <w:marTop w:val="0"/>
                  <w:marBottom w:val="0"/>
                  <w:divBdr>
                    <w:top w:val="none" w:sz="0" w:space="0" w:color="auto"/>
                    <w:left w:val="none" w:sz="0" w:space="0" w:color="auto"/>
                    <w:bottom w:val="none" w:sz="0" w:space="0" w:color="auto"/>
                    <w:right w:val="none" w:sz="0" w:space="0" w:color="auto"/>
                  </w:divBdr>
                  <w:divsChild>
                    <w:div w:id="1571233982">
                      <w:marLeft w:val="0"/>
                      <w:marRight w:val="0"/>
                      <w:marTop w:val="0"/>
                      <w:marBottom w:val="0"/>
                      <w:divBdr>
                        <w:top w:val="none" w:sz="0" w:space="0" w:color="auto"/>
                        <w:left w:val="none" w:sz="0" w:space="0" w:color="auto"/>
                        <w:bottom w:val="none" w:sz="0" w:space="0" w:color="auto"/>
                        <w:right w:val="none" w:sz="0" w:space="0" w:color="auto"/>
                      </w:divBdr>
                      <w:divsChild>
                        <w:div w:id="806698955">
                          <w:marLeft w:val="0"/>
                          <w:marRight w:val="0"/>
                          <w:marTop w:val="0"/>
                          <w:marBottom w:val="0"/>
                          <w:divBdr>
                            <w:top w:val="none" w:sz="0" w:space="0" w:color="auto"/>
                            <w:left w:val="none" w:sz="0" w:space="0" w:color="auto"/>
                            <w:bottom w:val="none" w:sz="0" w:space="0" w:color="auto"/>
                            <w:right w:val="none" w:sz="0" w:space="0" w:color="auto"/>
                          </w:divBdr>
                          <w:divsChild>
                            <w:div w:id="121770437">
                              <w:marLeft w:val="0"/>
                              <w:marRight w:val="0"/>
                              <w:marTop w:val="0"/>
                              <w:marBottom w:val="0"/>
                              <w:divBdr>
                                <w:top w:val="none" w:sz="0" w:space="0" w:color="auto"/>
                                <w:left w:val="none" w:sz="0" w:space="0" w:color="auto"/>
                                <w:bottom w:val="none" w:sz="0" w:space="0" w:color="auto"/>
                                <w:right w:val="none" w:sz="0" w:space="0" w:color="auto"/>
                              </w:divBdr>
                              <w:divsChild>
                                <w:div w:id="682441672">
                                  <w:marLeft w:val="0"/>
                                  <w:marRight w:val="0"/>
                                  <w:marTop w:val="0"/>
                                  <w:marBottom w:val="0"/>
                                  <w:divBdr>
                                    <w:top w:val="none" w:sz="0" w:space="0" w:color="auto"/>
                                    <w:left w:val="none" w:sz="0" w:space="0" w:color="auto"/>
                                    <w:bottom w:val="none" w:sz="0" w:space="0" w:color="auto"/>
                                    <w:right w:val="none" w:sz="0" w:space="0" w:color="auto"/>
                                  </w:divBdr>
                                  <w:divsChild>
                                    <w:div w:id="14431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688339">
      <w:bodyDiv w:val="1"/>
      <w:marLeft w:val="0"/>
      <w:marRight w:val="0"/>
      <w:marTop w:val="0"/>
      <w:marBottom w:val="0"/>
      <w:divBdr>
        <w:top w:val="none" w:sz="0" w:space="0" w:color="auto"/>
        <w:left w:val="none" w:sz="0" w:space="0" w:color="auto"/>
        <w:bottom w:val="none" w:sz="0" w:space="0" w:color="auto"/>
        <w:right w:val="none" w:sz="0" w:space="0" w:color="auto"/>
      </w:divBdr>
    </w:div>
    <w:div w:id="1562784438">
      <w:bodyDiv w:val="1"/>
      <w:marLeft w:val="0"/>
      <w:marRight w:val="0"/>
      <w:marTop w:val="0"/>
      <w:marBottom w:val="0"/>
      <w:divBdr>
        <w:top w:val="none" w:sz="0" w:space="0" w:color="auto"/>
        <w:left w:val="none" w:sz="0" w:space="0" w:color="auto"/>
        <w:bottom w:val="none" w:sz="0" w:space="0" w:color="auto"/>
        <w:right w:val="none" w:sz="0" w:space="0" w:color="auto"/>
      </w:divBdr>
    </w:div>
    <w:div w:id="1669602301">
      <w:bodyDiv w:val="1"/>
      <w:marLeft w:val="0"/>
      <w:marRight w:val="0"/>
      <w:marTop w:val="0"/>
      <w:marBottom w:val="0"/>
      <w:divBdr>
        <w:top w:val="none" w:sz="0" w:space="0" w:color="auto"/>
        <w:left w:val="none" w:sz="0" w:space="0" w:color="auto"/>
        <w:bottom w:val="none" w:sz="0" w:space="0" w:color="auto"/>
        <w:right w:val="none" w:sz="0" w:space="0" w:color="auto"/>
      </w:divBdr>
    </w:div>
    <w:div w:id="1743673524">
      <w:bodyDiv w:val="1"/>
      <w:marLeft w:val="0"/>
      <w:marRight w:val="0"/>
      <w:marTop w:val="0"/>
      <w:marBottom w:val="0"/>
      <w:divBdr>
        <w:top w:val="none" w:sz="0" w:space="0" w:color="auto"/>
        <w:left w:val="none" w:sz="0" w:space="0" w:color="auto"/>
        <w:bottom w:val="none" w:sz="0" w:space="0" w:color="auto"/>
        <w:right w:val="none" w:sz="0" w:space="0" w:color="auto"/>
      </w:divBdr>
    </w:div>
    <w:div w:id="1771579480">
      <w:bodyDiv w:val="1"/>
      <w:marLeft w:val="0"/>
      <w:marRight w:val="0"/>
      <w:marTop w:val="0"/>
      <w:marBottom w:val="0"/>
      <w:divBdr>
        <w:top w:val="none" w:sz="0" w:space="0" w:color="auto"/>
        <w:left w:val="none" w:sz="0" w:space="0" w:color="auto"/>
        <w:bottom w:val="none" w:sz="0" w:space="0" w:color="auto"/>
        <w:right w:val="none" w:sz="0" w:space="0" w:color="auto"/>
      </w:divBdr>
      <w:divsChild>
        <w:div w:id="110167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347136">
      <w:bodyDiv w:val="1"/>
      <w:marLeft w:val="0"/>
      <w:marRight w:val="0"/>
      <w:marTop w:val="0"/>
      <w:marBottom w:val="0"/>
      <w:divBdr>
        <w:top w:val="none" w:sz="0" w:space="0" w:color="auto"/>
        <w:left w:val="none" w:sz="0" w:space="0" w:color="auto"/>
        <w:bottom w:val="none" w:sz="0" w:space="0" w:color="auto"/>
        <w:right w:val="none" w:sz="0" w:space="0" w:color="auto"/>
      </w:divBdr>
    </w:div>
    <w:div w:id="1808013181">
      <w:bodyDiv w:val="1"/>
      <w:marLeft w:val="0"/>
      <w:marRight w:val="0"/>
      <w:marTop w:val="0"/>
      <w:marBottom w:val="0"/>
      <w:divBdr>
        <w:top w:val="none" w:sz="0" w:space="0" w:color="auto"/>
        <w:left w:val="none" w:sz="0" w:space="0" w:color="auto"/>
        <w:bottom w:val="none" w:sz="0" w:space="0" w:color="auto"/>
        <w:right w:val="none" w:sz="0" w:space="0" w:color="auto"/>
      </w:divBdr>
    </w:div>
    <w:div w:id="1823155395">
      <w:bodyDiv w:val="1"/>
      <w:marLeft w:val="0"/>
      <w:marRight w:val="0"/>
      <w:marTop w:val="0"/>
      <w:marBottom w:val="0"/>
      <w:divBdr>
        <w:top w:val="none" w:sz="0" w:space="0" w:color="auto"/>
        <w:left w:val="none" w:sz="0" w:space="0" w:color="auto"/>
        <w:bottom w:val="none" w:sz="0" w:space="0" w:color="auto"/>
        <w:right w:val="none" w:sz="0" w:space="0" w:color="auto"/>
      </w:divBdr>
    </w:div>
    <w:div w:id="1829130725">
      <w:bodyDiv w:val="1"/>
      <w:marLeft w:val="0"/>
      <w:marRight w:val="0"/>
      <w:marTop w:val="0"/>
      <w:marBottom w:val="0"/>
      <w:divBdr>
        <w:top w:val="none" w:sz="0" w:space="0" w:color="auto"/>
        <w:left w:val="none" w:sz="0" w:space="0" w:color="auto"/>
        <w:bottom w:val="none" w:sz="0" w:space="0" w:color="auto"/>
        <w:right w:val="none" w:sz="0" w:space="0" w:color="auto"/>
      </w:divBdr>
      <w:divsChild>
        <w:div w:id="1108768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023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137143">
      <w:bodyDiv w:val="1"/>
      <w:marLeft w:val="0"/>
      <w:marRight w:val="0"/>
      <w:marTop w:val="0"/>
      <w:marBottom w:val="0"/>
      <w:divBdr>
        <w:top w:val="none" w:sz="0" w:space="0" w:color="auto"/>
        <w:left w:val="none" w:sz="0" w:space="0" w:color="auto"/>
        <w:bottom w:val="none" w:sz="0" w:space="0" w:color="auto"/>
        <w:right w:val="none" w:sz="0" w:space="0" w:color="auto"/>
      </w:divBdr>
    </w:div>
    <w:div w:id="1979913229">
      <w:bodyDiv w:val="1"/>
      <w:marLeft w:val="0"/>
      <w:marRight w:val="0"/>
      <w:marTop w:val="0"/>
      <w:marBottom w:val="0"/>
      <w:divBdr>
        <w:top w:val="none" w:sz="0" w:space="0" w:color="auto"/>
        <w:left w:val="none" w:sz="0" w:space="0" w:color="auto"/>
        <w:bottom w:val="none" w:sz="0" w:space="0" w:color="auto"/>
        <w:right w:val="none" w:sz="0" w:space="0" w:color="auto"/>
      </w:divBdr>
    </w:div>
    <w:div w:id="212221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7E5D8-7B4D-2B45-95B8-CADD3C78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Zweben</dc:creator>
  <cp:keywords/>
  <dc:description/>
  <cp:lastModifiedBy>Daniel Zweben</cp:lastModifiedBy>
  <cp:revision>8</cp:revision>
  <dcterms:created xsi:type="dcterms:W3CDTF">2025-06-01T15:21:00Z</dcterms:created>
  <dcterms:modified xsi:type="dcterms:W3CDTF">2025-06-30T21:18:00Z</dcterms:modified>
</cp:coreProperties>
</file>