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Mean and Standard Deviation: Reasons for Not Accepting Medicare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Mean Ranking</w:t>
            </w:r>
          </w:p>
        </w:tc>
        <w:tc>
          <w:tcPr>
            <w:tcW w:type="dxa" w:w="2880"/>
          </w:tcPr>
          <w:p>
            <w:r>
              <w:t>Standard Deviation</w:t>
            </w:r>
          </w:p>
        </w:tc>
      </w:tr>
      <w:tr>
        <w:tc>
          <w:tcPr>
            <w:tcW w:type="dxa" w:w="2880"/>
          </w:tcPr>
          <w:p>
            <w:r>
              <w:t>Reimbursement rates are too low</w:t>
            </w:r>
          </w:p>
        </w:tc>
        <w:tc>
          <w:tcPr>
            <w:tcW w:type="dxa" w:w="2880"/>
          </w:tcPr>
          <w:p>
            <w:r>
              <w:t>2.54</w:t>
            </w:r>
          </w:p>
        </w:tc>
        <w:tc>
          <w:tcPr>
            <w:tcW w:type="dxa" w:w="2880"/>
          </w:tcPr>
          <w:p>
            <w:r>
              <w:t>1.79</w:t>
            </w:r>
          </w:p>
        </w:tc>
      </w:tr>
      <w:tr>
        <w:tc>
          <w:tcPr>
            <w:tcW w:type="dxa" w:w="2880"/>
          </w:tcPr>
          <w:p>
            <w:r>
              <w:t>Administrative burden of submitting claims</w:t>
            </w:r>
          </w:p>
        </w:tc>
        <w:tc>
          <w:tcPr>
            <w:tcW w:type="dxa" w:w="2880"/>
          </w:tcPr>
          <w:p>
            <w:r>
              <w:t>2.77</w:t>
            </w:r>
          </w:p>
        </w:tc>
        <w:tc>
          <w:tcPr>
            <w:tcW w:type="dxa" w:w="2880"/>
          </w:tcPr>
          <w:p>
            <w:r>
              <w:t>1.54</w:t>
            </w:r>
          </w:p>
        </w:tc>
      </w:tr>
      <w:tr>
        <w:tc>
          <w:tcPr>
            <w:tcW w:type="dxa" w:w="2880"/>
          </w:tcPr>
          <w:p>
            <w:r>
              <w:t>Delays in getting paid</w:t>
            </w:r>
          </w:p>
        </w:tc>
        <w:tc>
          <w:tcPr>
            <w:tcW w:type="dxa" w:w="2880"/>
          </w:tcPr>
          <w:p>
            <w:r>
              <w:t>3.61</w:t>
            </w:r>
          </w:p>
        </w:tc>
        <w:tc>
          <w:tcPr>
            <w:tcW w:type="dxa" w:w="2880"/>
          </w:tcPr>
          <w:p>
            <w:r>
              <w:t>1.07</w:t>
            </w:r>
          </w:p>
        </w:tc>
      </w:tr>
      <w:tr>
        <w:tc>
          <w:tcPr>
            <w:tcW w:type="dxa" w:w="2880"/>
          </w:tcPr>
          <w:p>
            <w:r>
              <w:t>Concerns about treatment regulations</w:t>
            </w:r>
          </w:p>
        </w:tc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1.22</w:t>
            </w:r>
          </w:p>
        </w:tc>
      </w:tr>
      <w:tr>
        <w:tc>
          <w:tcPr>
            <w:tcW w:type="dxa" w:w="2880"/>
          </w:tcPr>
          <w:p>
            <w:r>
              <w:t>Concerns about audit risk</w:t>
            </w:r>
          </w:p>
        </w:tc>
        <w:tc>
          <w:tcPr>
            <w:tcW w:type="dxa" w:w="2880"/>
          </w:tcPr>
          <w:p>
            <w:r>
              <w:t>3.76</w:t>
            </w:r>
          </w:p>
        </w:tc>
        <w:tc>
          <w:tcPr>
            <w:tcW w:type="dxa" w:w="2880"/>
          </w:tcPr>
          <w:p>
            <w:r>
              <w:t>1.37</w:t>
            </w:r>
          </w:p>
        </w:tc>
      </w:tr>
      <w:tr>
        <w:tc>
          <w:tcPr>
            <w:tcW w:type="dxa" w:w="2880"/>
          </w:tcPr>
          <w:p>
            <w:r>
              <w:t>Not accepted onto an insurance panel</w:t>
            </w:r>
          </w:p>
        </w:tc>
        <w:tc>
          <w:tcPr>
            <w:tcW w:type="dxa" w:w="2880"/>
          </w:tcPr>
          <w:p>
            <w:r>
              <w:t>4.92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