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Mean and Standard Deviation: Reasons for Not Accepting Private Insurance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Mean Ranking</w:t>
            </w:r>
          </w:p>
        </w:tc>
        <w:tc>
          <w:tcPr>
            <w:tcW w:type="dxa" w:w="2880"/>
          </w:tcPr>
          <w:p>
            <w:r>
              <w:t>Standard Deviation</w:t>
            </w:r>
          </w:p>
        </w:tc>
      </w:tr>
      <w:tr>
        <w:tc>
          <w:tcPr>
            <w:tcW w:type="dxa" w:w="2880"/>
          </w:tcPr>
          <w:p>
            <w:r>
              <w:t>Reimbursement rates are too low.2</w:t>
            </w:r>
          </w:p>
        </w:tc>
        <w:tc>
          <w:tcPr>
            <w:tcW w:type="dxa" w:w="2880"/>
          </w:tcPr>
          <w:p>
            <w:r>
              <w:t>2.24</w:t>
            </w:r>
          </w:p>
        </w:tc>
        <w:tc>
          <w:tcPr>
            <w:tcW w:type="dxa" w:w="2880"/>
          </w:tcPr>
          <w:p>
            <w:r>
              <w:t>1.82</w:t>
            </w:r>
          </w:p>
        </w:tc>
      </w:tr>
      <w:tr>
        <w:tc>
          <w:tcPr>
            <w:tcW w:type="dxa" w:w="2880"/>
          </w:tcPr>
          <w:p>
            <w:r>
              <w:t>Administrative burden of submitting claims.2</w:t>
            </w:r>
          </w:p>
        </w:tc>
        <w:tc>
          <w:tcPr>
            <w:tcW w:type="dxa" w:w="2880"/>
          </w:tcPr>
          <w:p>
            <w:r>
              <w:t>2.87</w:t>
            </w:r>
          </w:p>
        </w:tc>
        <w:tc>
          <w:tcPr>
            <w:tcW w:type="dxa" w:w="2880"/>
          </w:tcPr>
          <w:p>
            <w:r>
              <w:t>1.48</w:t>
            </w:r>
          </w:p>
        </w:tc>
      </w:tr>
      <w:tr>
        <w:tc>
          <w:tcPr>
            <w:tcW w:type="dxa" w:w="2880"/>
          </w:tcPr>
          <w:p>
            <w:r>
              <w:t>Delays in getting paid.2</w:t>
            </w:r>
          </w:p>
        </w:tc>
        <w:tc>
          <w:tcPr>
            <w:tcW w:type="dxa" w:w="2880"/>
          </w:tcPr>
          <w:p>
            <w:r>
              <w:t>3.44</w:t>
            </w:r>
          </w:p>
        </w:tc>
        <w:tc>
          <w:tcPr>
            <w:tcW w:type="dxa" w:w="2880"/>
          </w:tcPr>
          <w:p>
            <w:r>
              <w:t>1.12</w:t>
            </w:r>
          </w:p>
        </w:tc>
      </w:tr>
      <w:tr>
        <w:tc>
          <w:tcPr>
            <w:tcW w:type="dxa" w:w="2880"/>
          </w:tcPr>
          <w:p>
            <w:r>
              <w:t>Concerns about treatment regulations.2</w:t>
            </w:r>
          </w:p>
        </w:tc>
        <w:tc>
          <w:tcPr>
            <w:tcW w:type="dxa" w:w="2880"/>
          </w:tcPr>
          <w:p>
            <w:r>
              <w:t>3.48</w:t>
            </w:r>
          </w:p>
        </w:tc>
        <w:tc>
          <w:tcPr>
            <w:tcW w:type="dxa" w:w="2880"/>
          </w:tcPr>
          <w:p>
            <w:r>
              <w:t>1.17</w:t>
            </w:r>
          </w:p>
        </w:tc>
      </w:tr>
      <w:tr>
        <w:tc>
          <w:tcPr>
            <w:tcW w:type="dxa" w:w="2880"/>
          </w:tcPr>
          <w:p>
            <w:r>
              <w:t>Concerns about audit risk.2</w:t>
            </w:r>
          </w:p>
        </w:tc>
        <w:tc>
          <w:tcPr>
            <w:tcW w:type="dxa" w:w="2880"/>
          </w:tcPr>
          <w:p>
            <w:r>
              <w:t>3.87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</w:tr>
      <w:tr>
        <w:tc>
          <w:tcPr>
            <w:tcW w:type="dxa" w:w="2880"/>
          </w:tcPr>
          <w:p>
            <w:r>
              <w:t>Not accepted onto an insurance panel.2</w:t>
            </w:r>
          </w:p>
        </w:tc>
        <w:tc>
          <w:tcPr>
            <w:tcW w:type="dxa" w:w="2880"/>
          </w:tcPr>
          <w:p>
            <w:r>
              <w:t>5.11</w:t>
            </w:r>
          </w:p>
        </w:tc>
        <w:tc>
          <w:tcPr>
            <w:tcW w:type="dxa" w:w="2880"/>
          </w:tcPr>
          <w:p>
            <w:r>
              <w:t>1.75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