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Private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low.2</w:t>
            </w:r>
          </w:p>
        </w:tc>
        <w:tc>
          <w:tcPr>
            <w:tcW w:type="dxa" w:w="2160"/>
          </w:tcPr>
          <w:p>
            <w:r>
              <w:t>2.08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claims.2</w:t>
            </w:r>
          </w:p>
        </w:tc>
        <w:tc>
          <w:tcPr>
            <w:tcW w:type="dxa" w:w="2160"/>
          </w:tcPr>
          <w:p>
            <w:r>
              <w:t>2.72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paid.2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regulations.2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risk.2</w:t>
            </w:r>
          </w:p>
        </w:tc>
        <w:tc>
          <w:tcPr>
            <w:tcW w:type="dxa" w:w="2160"/>
          </w:tcPr>
          <w:p>
            <w:r>
              <w:t>3.99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panel.2</w:t>
            </w:r>
          </w:p>
        </w:tc>
        <w:tc>
          <w:tcPr>
            <w:tcW w:type="dxa" w:w="2160"/>
          </w:tcPr>
          <w:p>
            <w:r>
              <w:t>5.24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