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Medicaid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low.1</w:t>
            </w:r>
          </w:p>
        </w:tc>
        <w:tc>
          <w:tcPr>
            <w:tcW w:type="dxa" w:w="2160"/>
          </w:tcPr>
          <w:p>
            <w:r>
              <w:t>2.61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claims.1</w:t>
            </w:r>
          </w:p>
        </w:tc>
        <w:tc>
          <w:tcPr>
            <w:tcW w:type="dxa" w:w="2160"/>
          </w:tcPr>
          <w:p>
            <w:r>
              <w:t>2.9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paid.1</w:t>
            </w:r>
          </w:p>
        </w:tc>
        <w:tc>
          <w:tcPr>
            <w:tcW w:type="dxa" w:w="2160"/>
          </w:tcPr>
          <w:p>
            <w:r>
              <w:t>3.32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Concerns about treatment regulations.1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risk.1</w:t>
            </w:r>
          </w:p>
        </w:tc>
        <w:tc>
          <w:tcPr>
            <w:tcW w:type="dxa" w:w="2160"/>
          </w:tcPr>
          <w:p>
            <w:r>
              <w:t>3.76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panel.1</w:t>
            </w:r>
          </w:p>
        </w:tc>
        <w:tc>
          <w:tcPr>
            <w:tcW w:type="dxa" w:w="2160"/>
          </w:tcPr>
          <w:p>
            <w:r>
              <w:t>4.81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