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Rankings of Reasons for Not Accepting Medicare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Reason</w:t>
            </w:r>
          </w:p>
        </w:tc>
        <w:tc>
          <w:tcPr>
            <w:tcW w:type="dxa" w:w="2160"/>
          </w:tcPr>
          <w:p>
            <w:r>
              <w:t>Mean Ranking</w:t>
            </w:r>
          </w:p>
        </w:tc>
        <w:tc>
          <w:tcPr>
            <w:tcW w:type="dxa" w:w="2160"/>
          </w:tcPr>
          <w:p>
            <w:r>
              <w:t>Median Ranking</w:t>
            </w:r>
          </w:p>
        </w:tc>
        <w:tc>
          <w:tcPr>
            <w:tcW w:type="dxa" w:w="2160"/>
          </w:tcPr>
          <w:p>
            <w:r>
              <w:t>Most Common Ranking</w:t>
            </w:r>
          </w:p>
        </w:tc>
      </w:tr>
      <w:tr>
        <w:tc>
          <w:tcPr>
            <w:tcW w:type="dxa" w:w="2160"/>
          </w:tcPr>
          <w:p>
            <w:r>
              <w:t>Reimbursement rates are too low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</w:tr>
      <w:tr>
        <w:tc>
          <w:tcPr>
            <w:tcW w:type="dxa" w:w="2160"/>
          </w:tcPr>
          <w:p>
            <w:r>
              <w:t>Administrative burden of submitting claims</w:t>
            </w:r>
          </w:p>
        </w:tc>
        <w:tc>
          <w:tcPr>
            <w:tcW w:type="dxa" w:w="2160"/>
          </w:tcPr>
          <w:p>
            <w:r>
              <w:t>2.86</w:t>
            </w:r>
          </w:p>
        </w:tc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2.0</w:t>
            </w:r>
          </w:p>
        </w:tc>
      </w:tr>
      <w:tr>
        <w:tc>
          <w:tcPr>
            <w:tcW w:type="dxa" w:w="2160"/>
          </w:tcPr>
          <w:p>
            <w:r>
              <w:t>Delays in getting paid</w:t>
            </w:r>
          </w:p>
        </w:tc>
        <w:tc>
          <w:tcPr>
            <w:tcW w:type="dxa" w:w="2160"/>
          </w:tcPr>
          <w:p>
            <w:r>
              <w:t>3.84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Concerns about treatment regulations</w:t>
            </w:r>
          </w:p>
        </w:tc>
        <w:tc>
          <w:tcPr>
            <w:tcW w:type="dxa" w:w="2160"/>
          </w:tcPr>
          <w:p>
            <w:r>
              <w:t>3.35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Concerns about audit risk</w:t>
            </w:r>
          </w:p>
        </w:tc>
        <w:tc>
          <w:tcPr>
            <w:tcW w:type="dxa" w:w="2160"/>
          </w:tcPr>
          <w:p>
            <w:r>
              <w:t>3.82</w:t>
            </w:r>
          </w:p>
        </w:tc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5.0</w:t>
            </w:r>
          </w:p>
        </w:tc>
      </w:tr>
      <w:tr>
        <w:tc>
          <w:tcPr>
            <w:tcW w:type="dxa" w:w="2160"/>
          </w:tcPr>
          <w:p>
            <w:r>
              <w:t>Not accepted onto an insurance panel</w:t>
            </w:r>
          </w:p>
        </w:tc>
        <w:tc>
          <w:tcPr>
            <w:tcW w:type="dxa" w:w="2160"/>
          </w:tcPr>
          <w:p>
            <w:r>
              <w:t>4.45</w:t>
            </w:r>
          </w:p>
        </w:tc>
        <w:tc>
          <w:tcPr>
            <w:tcW w:type="dxa" w:w="2160"/>
          </w:tcPr>
          <w:p>
            <w:r>
              <w:t>6.0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