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Rankings of Reasons for Not Accepting Medicaid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Mean Ranking</w:t>
            </w:r>
          </w:p>
        </w:tc>
        <w:tc>
          <w:tcPr>
            <w:tcW w:type="dxa" w:w="2160"/>
          </w:tcPr>
          <w:p>
            <w:r>
              <w:t>Median Ranking</w:t>
            </w:r>
          </w:p>
        </w:tc>
        <w:tc>
          <w:tcPr>
            <w:tcW w:type="dxa" w:w="2160"/>
          </w:tcPr>
          <w:p>
            <w:r>
              <w:t>Most Common Ranking</w:t>
            </w:r>
          </w:p>
        </w:tc>
      </w:tr>
      <w:tr>
        <w:tc>
          <w:tcPr>
            <w:tcW w:type="dxa" w:w="2160"/>
          </w:tcPr>
          <w:p>
            <w:r>
              <w:t>Reimbursement rates are too low.1</w:t>
            </w:r>
          </w:p>
        </w:tc>
        <w:tc>
          <w:tcPr>
            <w:tcW w:type="dxa" w:w="2160"/>
          </w:tcPr>
          <w:p>
            <w:r>
              <w:t>2.28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Administrative burden of submitting claims.1</w:t>
            </w:r>
          </w:p>
        </w:tc>
        <w:tc>
          <w:tcPr>
            <w:tcW w:type="dxa" w:w="2160"/>
          </w:tcPr>
          <w:p>
            <w:r>
              <w:t>2.7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Delays in getting paid.1</w:t>
            </w:r>
          </w:p>
        </w:tc>
        <w:tc>
          <w:tcPr>
            <w:tcW w:type="dxa" w:w="2160"/>
          </w:tcPr>
          <w:p>
            <w:r>
              <w:t>3.44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Concerns about treatment regulations.1</w:t>
            </w:r>
          </w:p>
        </w:tc>
        <w:tc>
          <w:tcPr>
            <w:tcW w:type="dxa" w:w="2160"/>
          </w:tcPr>
          <w:p>
            <w:r>
              <w:t>3.59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Concerns about audit risk.1</w:t>
            </w:r>
          </w:p>
        </w:tc>
        <w:tc>
          <w:tcPr>
            <w:tcW w:type="dxa" w:w="2160"/>
          </w:tcPr>
          <w:p>
            <w:r>
              <w:t>3.96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Not accepted onto an insurance panel.1</w:t>
            </w:r>
          </w:p>
        </w:tc>
        <w:tc>
          <w:tcPr>
            <w:tcW w:type="dxa" w:w="2160"/>
          </w:tcPr>
          <w:p>
            <w:r>
              <w:t>5.04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