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Demographic Data Summary</w:t>
      </w:r>
    </w:p>
    <w:p>
      <w:pPr>
        <w:pStyle w:val="Heading2"/>
      </w:pPr>
      <w:r>
        <w:t>Table 1: Payment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Self-Pay Fee</w:t>
            </w:r>
          </w:p>
        </w:tc>
        <w:tc>
          <w:tcPr>
            <w:tcW w:type="dxa" w:w="1728"/>
          </w:tcPr>
          <w:p>
            <w:r>
              <w:t>$634.37</w:t>
            </w:r>
          </w:p>
        </w:tc>
        <w:tc>
          <w:tcPr>
            <w:tcW w:type="dxa" w:w="1728"/>
          </w:tcPr>
          <w:p>
            <w:r>
              <w:t>$200.00</w:t>
            </w:r>
          </w:p>
        </w:tc>
        <w:tc>
          <w:tcPr>
            <w:tcW w:type="dxa" w:w="1728"/>
          </w:tcPr>
          <w:p>
            <w:r>
              <w:t>328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Sliding Scale Offered (Yes)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61.2%</w:t>
            </w:r>
          </w:p>
        </w:tc>
      </w:tr>
      <w:tr>
        <w:tc>
          <w:tcPr>
            <w:tcW w:type="dxa" w:w="1728"/>
          </w:tcPr>
          <w:p>
            <w:r>
              <w:t>Sliding Scale Offered (No)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38.8%</w:t>
            </w:r>
          </w:p>
        </w:tc>
      </w:tr>
      <w:tr>
        <w:tc>
          <w:tcPr>
            <w:tcW w:type="dxa" w:w="1728"/>
          </w:tcPr>
          <w:p>
            <w:r>
              <w:t>Lowest Sliding Scale Fee</w:t>
            </w:r>
          </w:p>
        </w:tc>
        <w:tc>
          <w:tcPr>
            <w:tcW w:type="dxa" w:w="1728"/>
          </w:tcPr>
          <w:p>
            <w:r>
              <w:t>$681.81</w:t>
            </w:r>
          </w:p>
        </w:tc>
        <w:tc>
          <w:tcPr>
            <w:tcW w:type="dxa" w:w="1728"/>
          </w:tcPr>
          <w:p>
            <w:r>
              <w:t>$90.00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