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H0: μ_South − μ_West = 0 (marginal means).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H0: μ_Northeast,City − μ_Northeast,Non‑City = 0.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The South and West comparisons were not significant (both p_bonf = 1.00).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H0: μ_Midwest,City − μ_Northeast,City = 0.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H0: μ_C,NE − (μ_C,MW + μ_C,W)/2 = 0</w:t>
      </w:r>
    </w:p>
    <w:p>
      <w:pPr>
        <w:numPr>
          <w:ilvl w:val="0"/>
          <w:numId w:val="1001"/>
        </w:numPr>
      </w:pPr>
      <w:r>
        <w:t xml:space="preserve">Non-city dwellers, NE vs MW &amp; W: H0: μ_NC,NE − (μ_NC,MW + μ_NC,W)/2 = 0</w:t>
      </w:r>
    </w:p>
    <w:p>
      <w:pPr>
        <w:numPr>
          <w:ilvl w:val="0"/>
          <w:numId w:val="1001"/>
        </w:numPr>
      </w:pPr>
      <w:r>
        <w:t xml:space="preserve">Interaction contrast: H0: [μ_C,NE − (μ_C,MW + μ_C,W)/2] − [μ_NC,NE − (μ_NC,MW + μ_NC,W)/2] = 0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2026-02-05T14:26:36Z</dcterms:created>
  <dcterms:modified xsi:type="dcterms:W3CDTF">2026-02-05T14:26:36Z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