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4"/>
          <w:szCs w:val="24"/>
        </w:rPr>
        <w:t xml:space="preserve">Method</w:t>
      </w:r>
    </w:p>
    <w:p>
      <w:pPr>
        <w:spacing w:after="0" w:line="480" w:lineRule="auto"/>
      </w:pPr>
      <w:r>
        <w:rPr>
          <w:rFonts w:ascii="Times New Roman" w:cs="Times New Roman" w:eastAsia="Times New Roman" w:hAnsi="Times New Roman"/>
          <w:b/>
          <w:bCs/>
          <w:sz w:val="24"/>
          <w:szCs w:val="24"/>
        </w:rPr>
        <w:t xml:space="preserve">Participants</w:t>
      </w:r>
    </w:p>
    <w:p>
      <w:pPr>
        <w:spacing w:after="0" w:line="480" w:lineRule="auto"/>
        <w:ind w:firstLine="720"/>
      </w:pPr>
      <w:r>
        <w:rPr>
          <w:rFonts w:ascii="Times New Roman" w:cs="Times New Roman" w:eastAsia="Times New Roman" w:hAnsi="Times New Roman"/>
          <w:i w:val="false"/>
          <w:iCs w:val="false"/>
          <w:sz w:val="24"/>
          <w:szCs w:val="24"/>
        </w:rPr>
        <w:t xml:space="preserve">Participants were 33 adolescents (15 female;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vertAlign w:val="subscript"/>
        </w:rPr>
        <w:t xml:space="preserve">age</w:t>
      </w:r>
      <w:r>
        <w:rPr>
          <w:rFonts w:ascii="Times New Roman" w:cs="Times New Roman" w:eastAsia="Times New Roman" w:hAnsi="Times New Roman"/>
          <w:i w:val="false"/>
          <w:iCs w:val="false"/>
          <w:sz w:val="24"/>
          <w:szCs w:val="24"/>
        </w:rPr>
        <w:t xml:space="preserve"> = 12.73 years, </w:t>
      </w:r>
      <w:r>
        <w:rPr>
          <w:rFonts w:ascii="Times New Roman" w:cs="Times New Roman" w:eastAsia="Times New Roman" w:hAnsi="Times New Roman"/>
          <w:i/>
          <w:iCs/>
          <w:sz w:val="24"/>
          <w:szCs w:val="24"/>
        </w:rPr>
        <w:t xml:space="preserve">SD</w:t>
      </w:r>
      <w:r>
        <w:rPr>
          <w:rFonts w:ascii="Times New Roman" w:cs="Times New Roman" w:eastAsia="Times New Roman" w:hAnsi="Times New Roman"/>
          <w:i w:val="false"/>
          <w:iCs w:val="false"/>
          <w:sz w:val="24"/>
          <w:szCs w:val="24"/>
        </w:rPr>
        <w:t xml:space="preserve"> = 1.35, range 10 to 15 years) drawn from the larger LEARN study (Clarkson et al., 2024), recruited from the community and from the Child and Adolescent Anxiety Disorders Clinic at Temple University. The sample was 66.7% White, 18.2% multiracial, 9.1% Black or African American, and 6.1% Asian, with a median household income of $55,000. Adolescents provided assent and a parent or guardian provided written consent under procedures approved by the Temple University Institutional Review Board. All 33 adolescents had usable functional MRI data and complete data on the measures reported below.</w:t>
      </w:r>
    </w:p>
    <w:p>
      <w:pPr>
        <w:spacing w:after="0" w:line="480" w:lineRule="auto"/>
      </w:pPr>
      <w:r>
        <w:rPr>
          <w:rFonts w:ascii="Times New Roman" w:cs="Times New Roman" w:eastAsia="Times New Roman" w:hAnsi="Times New Roman"/>
          <w:b/>
          <w:bCs/>
          <w:sz w:val="24"/>
          <w:szCs w:val="24"/>
        </w:rPr>
        <w:t xml:space="preserve">Social Anxiety Symptom Severity</w:t>
      </w:r>
    </w:p>
    <w:p>
      <w:pPr>
        <w:spacing w:after="0" w:line="480" w:lineRule="auto"/>
        <w:ind w:firstLine="720"/>
      </w:pPr>
      <w:r>
        <w:rPr>
          <w:rFonts w:ascii="Times New Roman" w:cs="Times New Roman" w:eastAsia="Times New Roman" w:hAnsi="Times New Roman"/>
          <w:i w:val="false"/>
          <w:iCs w:val="false"/>
          <w:sz w:val="24"/>
          <w:szCs w:val="24"/>
        </w:rPr>
        <w:t xml:space="preserve">Social anxiety was indexed dimensionally by the social phobia subscale of the child-report Screen for Child Anxiety Related Emotional Disorders (SCARED; Birmaher et al., 1997, 1999), a seven-item scale (range 0 to 14;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5.00, </w:t>
      </w:r>
      <w:r>
        <w:rPr>
          <w:rFonts w:ascii="Times New Roman" w:cs="Times New Roman" w:eastAsia="Times New Roman" w:hAnsi="Times New Roman"/>
          <w:i/>
          <w:iCs/>
          <w:sz w:val="24"/>
          <w:szCs w:val="24"/>
        </w:rPr>
        <w:t xml:space="preserve">SD</w:t>
      </w:r>
      <w:r>
        <w:rPr>
          <w:rFonts w:ascii="Times New Roman" w:cs="Times New Roman" w:eastAsia="Times New Roman" w:hAnsi="Times New Roman"/>
          <w:i w:val="false"/>
          <w:iCs w:val="false"/>
          <w:sz w:val="24"/>
          <w:szCs w:val="24"/>
        </w:rPr>
        <w:t xml:space="preserve"> = 4.18). Using the recommended subscale cutoff (≥ 8; Birmaher et al., 1999), 27% of the sample (9 of 33) screened positive for clinically elevated social anxiety. Screening status converged with clinical diagnosis: 27% also met criteria for a social anxiety disorder on the Anxiety Disorders Interview Schedule for DSM-IV (ADIS-C/P; Silverman &amp; Albano, 1996; clinician severity rating ≥ 4), and 42% met criteria for any anxiety disorder. Self-reported social phobia scores tracked diagnostic status (point-biserial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.72; diagnosed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9.89, non-diagnosed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3.17). This continuous score was used in all analyses.</w:t>
      </w:r>
    </w:p>
    <w:p>
      <w:pPr>
        <w:spacing w:after="0" w:line="480" w:lineRule="auto"/>
      </w:pPr>
      <w:r>
        <w:rPr>
          <w:rFonts w:ascii="Times New Roman" w:cs="Times New Roman" w:eastAsia="Times New Roman" w:hAnsi="Times New Roman"/>
          <w:b/>
          <w:bCs/>
          <w:sz w:val="24"/>
          <w:szCs w:val="24"/>
        </w:rPr>
        <w:t xml:space="preserve">The LEARN Task</w:t>
      </w:r>
    </w:p>
    <w:p>
      <w:pPr>
        <w:spacing w:after="0" w:line="480" w:lineRule="auto"/>
        <w:ind w:firstLine="720"/>
      </w:pPr>
      <w:r>
        <w:rPr>
          <w:rFonts w:ascii="Times New Roman" w:cs="Times New Roman" w:eastAsia="Times New Roman" w:hAnsi="Times New Roman"/>
          <w:i w:val="false"/>
          <w:iCs w:val="false"/>
          <w:sz w:val="24"/>
          <w:szCs w:val="24"/>
        </w:rPr>
        <w:t xml:space="preserve">Adolescents completed the Learning from Evaluation And Recall of iNteractions (LEARN) task, an adaptation of the virtual-school paradigm (Jarcho et al., 2013, 2016) programmed in Presentation (Version 23.0; Neurobehavioral Systems). During an initial remote visit, each adolescent built a personalized avatar and profile and was told that their responses would be shared with gender-matched peers they would meet at a later visit. At the scanning visit, adolescents were told they would enter four classrooms and interact with four peers (Figure 1). On each trial, the adolescent predicted whether a given peer would deliver nice or mean feedback (4 s), received the peer's feedback, which confirmed or disconfirmed the prediction (3 s), and then made a response ("You're Right," "You're Wrong," "You're Nice," or "You're Mean"; 4 s), followed by a 0.5-s intertrial interval. Prediction and response reaction times were used to model epoch durations and to introduce jitter. Each of the four classrooms constituted one functional run (6 min 30 s). Each peer appeared eight times per run, yielding 32 trials per peer and 128 trials total; trial order was fixed across participants.</w:t>
      </w:r>
    </w:p>
    <w:p>
      <w:pPr>
        <w:spacing w:after="0" w:line="480" w:lineRule="auto"/>
        <w:ind w:firstLine="720"/>
      </w:pPr>
      <w:r>
        <w:rPr>
          <w:rFonts w:ascii="Times New Roman" w:cs="Times New Roman" w:eastAsia="Times New Roman" w:hAnsi="Times New Roman"/>
          <w:i w:val="false"/>
          <w:iCs w:val="false"/>
          <w:sz w:val="24"/>
          <w:szCs w:val="24"/>
        </w:rPr>
        <w:t xml:space="preserve">The four peers differed in reputation, defined by the disposition (nice or mean) and predictability of their feedback and operationalized as each peer's probability of delivering nice feedback: a predictable nice peer (80% nice), an unpredictable nice peer (60% nice), an unpredictable mean peer (40% nice), and a predictable mean peer (20% nice).</w:t>
      </w:r>
    </w:p>
    <w:p>
      <w:pPr>
        <w:keepNext/>
        <w:spacing w:after="0" w:line="480" w:lineRule="auto"/>
      </w:pPr>
      <w:r>
        <w:rPr>
          <w:rFonts w:ascii="Times New Roman" w:cs="Times New Roman" w:eastAsia="Times New Roman" w:hAnsi="Times New Roman"/>
          <w:b/>
          <w:bCs/>
          <w:sz w:val="24"/>
          <w:szCs w:val="24"/>
        </w:rPr>
        <w:t xml:space="preserve">Figure 1</w:t>
      </w:r>
    </w:p>
    <w:p>
      <w:pPr>
        <w:keepNext/>
        <w:spacing w:after="0" w:line="480" w:lineRule="auto"/>
      </w:pPr>
      <w:r>
        <w:rPr>
          <w:rFonts w:ascii="Times New Roman" w:cs="Times New Roman" w:eastAsia="Times New Roman" w:hAnsi="Times New Roman"/>
          <w:i/>
          <w:iCs/>
          <w:sz w:val="24"/>
          <w:szCs w:val="24"/>
        </w:rPr>
        <w:t xml:space="preserve">The LEARN Task</w:t>
      </w:r>
    </w:p>
    <w:p>
      <w:pPr>
        <w:spacing w:after="120" w:before="120" w:line="240" w:lineRule="auto"/>
        <w:jc w:val="center"/>
      </w:pPr>
      <w:r>
        <w:drawing>
          <wp:inline distT="0" distB="0" distL="0" distR="0">
            <wp:extent cx="5715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686300"/>
                    </a:xfrm>
                    <a:prstGeom prst="rect">
                      <a:avLst/>
                    </a:prstGeom>
                  </pic:spPr>
                </pic:pic>
              </a:graphicData>
            </a:graphic>
          </wp:inline>
        </w:drawing>
      </w:r>
    </w:p>
    <w:p>
      <w:pPr>
        <w:spacing w:after="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i w:val="false"/>
          <w:iCs w:val="false"/>
          <w:sz w:val="24"/>
          <w:szCs w:val="24"/>
        </w:rPr>
        <w:t xml:space="preserve">(A) Participants interacted with four computer-controlled peers who differed in their probability of delivering nice feedback (Nice-80, Nice-60, Mean-60, and Mean-80; P(nice) = .80, .60, .40, and .20). (B) On each trial, participants predicted a peer's upcoming feedback (4 s), received nice or mean feedback (3 s), and made a response (4 s).</w:t>
      </w:r>
    </w:p>
    <w:p>
      <w:pPr>
        <w:spacing w:after="0" w:line="480" w:lineRule="auto"/>
      </w:pPr>
      <w:r>
        <w:rPr>
          <w:rFonts w:ascii="Times New Roman" w:cs="Times New Roman" w:eastAsia="Times New Roman" w:hAnsi="Times New Roman"/>
          <w:b/>
          <w:bCs/>
          <w:sz w:val="24"/>
          <w:szCs w:val="24"/>
        </w:rPr>
        <w:t xml:space="preserve">fMRI Data Acquisition</w:t>
      </w:r>
    </w:p>
    <w:p>
      <w:pPr>
        <w:spacing w:after="0" w:line="480" w:lineRule="auto"/>
        <w:ind w:firstLine="720"/>
      </w:pPr>
      <w:r>
        <w:rPr>
          <w:rFonts w:ascii="Times New Roman" w:cs="Times New Roman" w:eastAsia="Times New Roman" w:hAnsi="Times New Roman"/>
          <w:i w:val="false"/>
          <w:iCs w:val="false"/>
          <w:sz w:val="24"/>
          <w:szCs w:val="24"/>
        </w:rPr>
        <w:t xml:space="preserve">Before scanning, participants completed a mock session to acclimate to the scanner environment and practice remaining still. Images were acquired on a 3-T Siemens MAGNETOM Prisma scanner with a 20-channel head coil. Functional images were acquired with a T2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-weighted multiband echo-planar imaging (EPI) sequence (multiband factor 2; 217 volumes; 52 axial slices; 3-mm isotropic voxels; TR/TE = 1750/29 ms; flip angle = 74 degrees; FOV = 240 mm; matrix = 80 x 80). A high-resolution T1-weighted MPRAGE structural image was acquired for anatomical localization and coregistration (sagittal; 1-mm isotropic; flip angle = 8 degrees; FOV = 224 mm; matrix = 224 x 224). The task was viewed through a head-coil-mounted mirror, and responses were recorded with an MRI-compatible four-button response box.</w:t>
      </w:r>
    </w:p>
    <w:p>
      <w:pPr>
        <w:spacing w:after="0" w:line="480" w:lineRule="auto"/>
      </w:pPr>
      <w:r>
        <w:rPr>
          <w:rFonts w:ascii="Times New Roman" w:cs="Times New Roman" w:eastAsia="Times New Roman" w:hAnsi="Times New Roman"/>
          <w:b/>
          <w:bCs/>
          <w:sz w:val="24"/>
          <w:szCs w:val="24"/>
        </w:rPr>
        <w:t xml:space="preserve">fMRI Preprocessing and First-Level Modeling</w:t>
      </w:r>
    </w:p>
    <w:p>
      <w:pPr>
        <w:spacing w:after="0" w:line="480" w:lineRule="auto"/>
        <w:ind w:firstLine="720"/>
      </w:pPr>
      <w:r>
        <w:rPr>
          <w:rFonts w:ascii="Times New Roman" w:cs="Times New Roman" w:eastAsia="Times New Roman" w:hAnsi="Times New Roman"/>
          <w:i w:val="false"/>
          <w:iCs w:val="false"/>
          <w:sz w:val="24"/>
          <w:szCs w:val="24"/>
        </w:rPr>
        <w:t xml:space="preserve">DICOM images were converted to BIDS format and preprocessed in AFNI (Cox, 1996) using afni_proc.py. Processing included despiking, slice-timing correction, motion correction by realignment to the minimum-outlier volume, coregistration of the functional and anatomical images, nonlinear normalization to the MNI152 2009c nonlinear asymmetric template (Fonov et al., 2011) via @SSwarper, and scaling of each voxel to percent signal change. No spatial smoothing was applied. Volumes were censored when the per-volume Euclidean-norm motion derivative exceeded 1.0 mm or the outlier fraction exceeded 0.1.</w:t>
      </w:r>
    </w:p>
    <w:p>
      <w:pPr>
        <w:spacing w:after="0" w:line="480" w:lineRule="auto"/>
        <w:ind w:firstLine="720"/>
      </w:pPr>
      <w:r>
        <w:rPr>
          <w:rFonts w:ascii="Times New Roman" w:cs="Times New Roman" w:eastAsia="Times New Roman" w:hAnsi="Times New Roman"/>
          <w:i w:val="false"/>
          <w:iCs w:val="false"/>
          <w:sz w:val="24"/>
          <w:szCs w:val="24"/>
        </w:rPr>
        <w:t xml:space="preserve">First-level models were estimated with 3dDeconvolve. Feedback was modeled separately for each peer, each feedback valence, and each run using a duration-modulated block response (AFNI dmBLOCK), together with prediction, response, and prediction-to-feedback anticipation regressors and the six rigid-body motion parameters. For each peer and run, the feedback response used in the representational analysis was the average of that peer's mean-feedback and nice-feedback estimates.</w:t>
      </w:r>
    </w:p>
    <w:p>
      <w:pPr>
        <w:spacing w:after="0" w:line="480" w:lineRule="auto"/>
      </w:pPr>
      <w:r>
        <w:rPr>
          <w:rFonts w:ascii="Times New Roman" w:cs="Times New Roman" w:eastAsia="Times New Roman" w:hAnsi="Times New Roman"/>
          <w:b/>
          <w:bCs/>
          <w:sz w:val="24"/>
          <w:szCs w:val="24"/>
        </w:rPr>
        <w:t xml:space="preserve">Regions of Interest</w:t>
      </w:r>
    </w:p>
    <w:p>
      <w:pPr>
        <w:spacing w:after="0" w:line="480" w:lineRule="auto"/>
        <w:ind w:firstLine="720"/>
      </w:pPr>
      <w:r>
        <w:rPr>
          <w:rFonts w:ascii="Times New Roman" w:cs="Times New Roman" w:eastAsia="Times New Roman" w:hAnsi="Times New Roman"/>
          <w:i w:val="false"/>
          <w:iCs w:val="false"/>
          <w:sz w:val="24"/>
          <w:szCs w:val="24"/>
        </w:rPr>
        <w:t xml:space="preserve">Analyses were conducted in 36 a priori social-brain regions of interest defined from the meta-analytic social-brain atlas of Alcala-Lopez et al. (2018), which specifies consensus peak coordinates for social-brain regions across studies. For the 30 cortical regions, a 10-mm-radius sphere was grown around each region's consensus peak and intersected with a group mask retaining voxels with signal in at least 90% of participants. The atlas also distributes gray-matter-constrained parcels grown from these peaks; resampled to the 3-mm functional grid, however, these parcels retained too few voxels to support stable within-region multivoxel estimates, so fixed-radius spheres were used. For the six subcortical regions (bilateral hippocampus, amygdala, and nucleus accumbens), whose small, curved anatomy is poorly approximated by a sphere, regions were instead defined from the Harvard-Oxford subcortical atlas (Frazier et al., 2005; Goldstein et al., 2007; Makris et al., 2006) thresholded at 25% probability.</w:t>
      </w:r>
    </w:p>
    <w:p>
      <w:pPr>
        <w:spacing w:after="0" w:line="480" w:lineRule="auto"/>
      </w:pPr>
      <w:r>
        <w:rPr>
          <w:rFonts w:ascii="Times New Roman" w:cs="Times New Roman" w:eastAsia="Times New Roman" w:hAnsi="Times New Roman"/>
          <w:b/>
          <w:bCs/>
          <w:sz w:val="24"/>
          <w:szCs w:val="24"/>
        </w:rPr>
        <w:t xml:space="preserve">Representational Similarity Analysis</w:t>
      </w:r>
    </w:p>
    <w:p>
      <w:pPr>
        <w:spacing w:after="0" w:line="480" w:lineRule="auto"/>
        <w:ind w:firstLine="720"/>
      </w:pPr>
      <w:r>
        <w:rPr>
          <w:rFonts w:ascii="Times New Roman" w:cs="Times New Roman" w:eastAsia="Times New Roman" w:hAnsi="Times New Roman"/>
          <w:i w:val="false"/>
          <w:iCs w:val="false"/>
          <w:sz w:val="24"/>
          <w:szCs w:val="24"/>
        </w:rPr>
        <w:t xml:space="preserve">Representational similarity analysis (RSA; Kriegeskorte et al., 2008) compares a region's representational dissimilarity matrix (RDM) against a model RDM. We used a model-based RSA in which the model RDM encoded the veridical structure of the social environment.</w:t>
      </w:r>
    </w:p>
    <w:p>
      <w:pPr>
        <w:spacing w:after="0" w:line="480" w:lineRule="auto"/>
        <w:ind w:firstLine="720"/>
      </w:pPr>
      <w:r>
        <w:rPr>
          <w:rFonts w:ascii="Times New Roman" w:cs="Times New Roman" w:eastAsia="Times New Roman" w:hAnsi="Times New Roman"/>
          <w:i w:val="false"/>
          <w:iCs w:val="false"/>
          <w:sz w:val="24"/>
          <w:szCs w:val="24"/>
        </w:rPr>
        <w:t xml:space="preserve">The model RDM was defined over the four peers as the absolute difference in their probability of nice feedback, normalized by the maximum possible difference: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 |P(nice)</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P(nice)</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val="false"/>
          <w:iCs w:val="false"/>
          <w:sz w:val="24"/>
          <w:szCs w:val="24"/>
        </w:rPr>
        <w:t xml:space="preserve">| / 0.60. The neural RDM was computed separately for each participant, run, and region: the multivoxel feedback pattern for each of the four peers (defined above) formed a 4 x 4 matrix of pairwise dissimilarities (1 minus the Pearson correlation between peer patterns). For each participant, run, and region, alignment was the Spearman correlation between the six unique off-diagonal neural dissimilarities and the corresponding model values, Fisher-</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transformed. This procedure yielded one alignment value per participant per run (Figure 2).</w:t>
      </w:r>
    </w:p>
    <w:p>
      <w:pPr>
        <w:spacing w:after="0" w:line="480" w:lineRule="auto"/>
        <w:ind w:firstLine="720"/>
      </w:pPr>
      <w:r>
        <w:rPr>
          <w:rFonts w:ascii="Times New Roman" w:cs="Times New Roman" w:eastAsia="Times New Roman" w:hAnsi="Times New Roman"/>
          <w:i w:val="false"/>
          <w:iCs w:val="false"/>
          <w:sz w:val="24"/>
          <w:szCs w:val="24"/>
        </w:rPr>
        <w:t xml:space="preserve">To relate alignment to social anxiety, each region's Fisher-</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alignment values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were entered into an ordinary least squares model,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run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SA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run</w:t>
      </w:r>
      <w:r>
        <w:rPr>
          <w:rFonts w:ascii="Times New Roman" w:cs="Times New Roman" w:eastAsia="Times New Roman" w:hAnsi="Times New Roman"/>
          <w:i w:val="false"/>
          <w:iCs w:val="false"/>
          <w:sz w:val="24"/>
          <w:szCs w:val="24"/>
        </w:rPr>
        <w:t xml:space="preserve"> x </w:t>
      </w:r>
      <w:r>
        <w:rPr>
          <w:rFonts w:ascii="Times New Roman" w:cs="Times New Roman" w:eastAsia="Times New Roman" w:hAnsi="Times New Roman"/>
          <w:i/>
          <w:iCs/>
          <w:sz w:val="24"/>
          <w:szCs w:val="24"/>
        </w:rPr>
        <w:t xml:space="preserve">SA</w:t>
      </w:r>
      <w:r>
        <w:rPr>
          <w:rFonts w:ascii="Times New Roman" w:cs="Times New Roman" w:eastAsia="Times New Roman" w:hAnsi="Times New Roman"/>
          <w:i w:val="false"/>
          <w:iCs w:val="false"/>
          <w:sz w:val="24"/>
          <w:szCs w:val="24"/>
        </w:rPr>
        <w:t xml:space="preserve">, where </w:t>
      </w:r>
      <w:r>
        <w:rPr>
          <w:rFonts w:ascii="Times New Roman" w:cs="Times New Roman" w:eastAsia="Times New Roman" w:hAnsi="Times New Roman"/>
          <w:i/>
          <w:iCs/>
          <w:sz w:val="24"/>
          <w:szCs w:val="24"/>
        </w:rPr>
        <w:t xml:space="preserve">SA</w:t>
      </w:r>
      <w:r>
        <w:rPr>
          <w:rFonts w:ascii="Times New Roman" w:cs="Times New Roman" w:eastAsia="Times New Roman" w:hAnsi="Times New Roman"/>
          <w:i w:val="false"/>
          <w:iCs w:val="false"/>
          <w:sz w:val="24"/>
          <w:szCs w:val="24"/>
        </w:rPr>
        <w:t xml:space="preserve"> is social anxiety and </w:t>
      </w:r>
      <w:r>
        <w:rPr>
          <w:rFonts w:ascii="Times New Roman" w:cs="Times New Roman" w:eastAsia="Times New Roman" w:hAnsi="Times New Roman"/>
          <w:i/>
          <w:iCs/>
          <w:sz w:val="24"/>
          <w:szCs w:val="24"/>
        </w:rPr>
        <w:t xml:space="preserve">run</w:t>
      </w:r>
      <w:r>
        <w:rPr>
          <w:rFonts w:ascii="Times New Roman" w:cs="Times New Roman" w:eastAsia="Times New Roman" w:hAnsi="Times New Roman"/>
          <w:i w:val="false"/>
          <w:iCs w:val="false"/>
          <w:sz w:val="24"/>
          <w:szCs w:val="24"/>
        </w:rPr>
        <w:t xml:space="preserve"> was mean-centered across the four runs. The main effect indexed mean alignment across runs; the interaction indexed change in alignment across runs. The main effect was tested by permuting social anxiety scores across participants (10,000 permutations). The interaction was tested against a joint null in which social anxiety scores were permuted across participants and each participant's alignment values were independently scrambled across their four runs.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values were corrected across the 36 regions using the Benjamini-Hochberg false discovery rate (Benjamini &amp; Hochberg, 1995).</w:t>
      </w:r>
    </w:p>
    <w:p>
      <w:pPr>
        <w:keepNext/>
        <w:spacing w:after="0" w:line="480" w:lineRule="auto"/>
      </w:pPr>
      <w:r>
        <w:rPr>
          <w:rFonts w:ascii="Times New Roman" w:cs="Times New Roman" w:eastAsia="Times New Roman" w:hAnsi="Times New Roman"/>
          <w:b/>
          <w:bCs/>
          <w:sz w:val="24"/>
          <w:szCs w:val="24"/>
        </w:rPr>
        <w:t xml:space="preserve">Figure 2</w:t>
      </w:r>
    </w:p>
    <w:p>
      <w:pPr>
        <w:keepNext/>
        <w:spacing w:after="0" w:line="480" w:lineRule="auto"/>
      </w:pPr>
      <w:r>
        <w:rPr>
          <w:rFonts w:ascii="Times New Roman" w:cs="Times New Roman" w:eastAsia="Times New Roman" w:hAnsi="Times New Roman"/>
          <w:i/>
          <w:iCs/>
          <w:sz w:val="24"/>
          <w:szCs w:val="24"/>
        </w:rPr>
        <w:t xml:space="preserve">Model-Based Representational Similarity Analysis</w:t>
      </w:r>
    </w:p>
    <w:p>
      <w:pPr>
        <w:spacing w:after="120" w:before="120" w:line="240" w:lineRule="auto"/>
        <w:jc w:val="center"/>
      </w:pPr>
      <w:r>
        <w:drawing>
          <wp:inline distT="0" distB="0" distL="0" distR="0">
            <wp:extent cx="5905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14800"/>
                    </a:xfrm>
                    <a:prstGeom prst="rect">
                      <a:avLst/>
                    </a:prstGeom>
                  </pic:spPr>
                </pic:pic>
              </a:graphicData>
            </a:graphic>
          </wp:inline>
        </w:drawing>
      </w:r>
    </w:p>
    <w:p>
      <w:pPr>
        <w:spacing w:after="0" w:line="48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i w:val="false"/>
          <w:iCs w:val="false"/>
          <w:sz w:val="24"/>
          <w:szCs w:val="24"/>
        </w:rPr>
        <w:t xml:space="preserve">(a) The model representational dissimilarity matrix (RDM) encoded the veridical social structure as the absolute difference in each peer pair's probability of nice feedback, normalized to the maximum difference. (b) For each participant, run, and region, a neural RDM was computed as 1 minus the Pearson correlation between the four peers' multivoxel feedback patterns. (c) Region-level alignment was the Fisher-</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-transformed Spearman correlation between the six off-diagonal neural and model dissimilarities, yielding one value per participant per run; second-level models related alignment and its change across runs to social anxiety (</w:t>
      </w:r>
      <w:r>
        <w:rPr>
          <w:rFonts w:ascii="Times New Roman" w:cs="Times New Roman" w:eastAsia="Times New Roman" w:hAnsi="Times New Roman"/>
          <w:i/>
          <w:iCs/>
          <w:sz w:val="24"/>
          <w:szCs w:val="24"/>
        </w:rPr>
        <w:t xml:space="preserve">SA</w:t>
      </w:r>
      <w:r>
        <w:rPr>
          <w:rFonts w:ascii="Times New Roman" w:cs="Times New Roman" w:eastAsia="Times New Roman" w:hAnsi="Times New Roman"/>
          <w:i w:val="false"/>
          <w:iCs w:val="false"/>
          <w:sz w:val="24"/>
          <w:szCs w:val="24"/>
        </w:rPr>
        <w:t xml:space="preserve">).</w:t>
      </w:r>
    </w:p>
    <w:p>
      <w:pPr>
        <w:spacing w:after="0" w:line="480" w:lineRule="auto"/>
      </w:pPr>
      <w:r>
        <w:rPr>
          <w:rFonts w:ascii="Times New Roman" w:cs="Times New Roman" w:eastAsia="Times New Roman" w:hAnsi="Times New Roman"/>
          <w:b/>
          <w:bCs/>
          <w:sz w:val="24"/>
          <w:szCs w:val="24"/>
        </w:rPr>
        <w:t xml:space="preserve">Temporal Inter-Subject Correlation</w:t>
      </w:r>
    </w:p>
    <w:p>
      <w:pPr>
        <w:spacing w:after="0" w:line="480" w:lineRule="auto"/>
        <w:ind w:firstLine="720"/>
      </w:pPr>
      <w:r>
        <w:rPr>
          <w:rFonts w:ascii="Times New Roman" w:cs="Times New Roman" w:eastAsia="Times New Roman" w:hAnsi="Times New Roman"/>
          <w:i w:val="false"/>
          <w:iCs w:val="false"/>
          <w:sz w:val="24"/>
          <w:szCs w:val="24"/>
        </w:rPr>
        <w:t xml:space="preserve">We computed leave-one-out inter-subject correlation (ISC; Hasson et al., 2004; Nastase et al., 2019): within each region, each participant's region-mean time course was Pearson-correlated with the mean of the remaining participants' region-mean time courses, and the resulting coefficient was Fisher-</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transformed. Because prediction and response were self-paced, feedback onsets drifted across participants over a run. This drift accumulated across runs, reaching up to 5.86 s (3.3 TR) by the fourth run, with a mean absolute deviation of 0.35 s (0.20 TR) across all feedback events. To align events before computing synchrony, each participant's run time course was temporally warped to the group-median feedback onsets by piecewise-linear interpolation anchored at the run boundaries and at each feedback onset (implemented in SciPy), then z-scored. ISC was computed within each run and averaged across runs, and each region's mean ISC was Spearman-correlated with social anxiety.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values were corrected across the 36 regions using the Benjamini-Hochberg false discovery rate.</w:t>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i w:val="false"/>
          <w:iCs w:val="false"/>
          <w:sz w:val="24"/>
          <w:szCs w:val="24"/>
        </w:rPr>
        <w:t xml:space="preserve">Alcala-Lopez, D., Smallwood, J., Jefferies, E., Van Overwalle, F., Vogeley, K., Mars, R. B., Turetsky, B. I., Laird, A. R., Fox, P. T., Eickhoff, S. B., &amp; Bzdok, D. (2018). Computing the social brain connectome across systems and states. </w:t>
      </w:r>
      <w:r>
        <w:rPr>
          <w:rFonts w:ascii="Times New Roman" w:cs="Times New Roman" w:eastAsia="Times New Roman" w:hAnsi="Times New Roman"/>
          <w:i/>
          <w:iCs/>
          <w:sz w:val="24"/>
          <w:szCs w:val="24"/>
        </w:rPr>
        <w:t xml:space="preserve">Cerebral Cortex, 28</w:t>
      </w:r>
      <w:r>
        <w:rPr>
          <w:rFonts w:ascii="Times New Roman" w:cs="Times New Roman" w:eastAsia="Times New Roman" w:hAnsi="Times New Roman"/>
          <w:i w:val="false"/>
          <w:iCs w:val="false"/>
          <w:sz w:val="24"/>
          <w:szCs w:val="24"/>
        </w:rPr>
        <w:t xml:space="preserve">(7), 2207-2232. https://doi.org/10.1093/cercor/bhx121</w:t>
      </w:r>
    </w:p>
    <w:p>
      <w:pPr>
        <w:spacing w:after="0" w:line="480" w:lineRule="auto"/>
        <w:ind w:left="720" w:hanging="720"/>
      </w:pPr>
      <w:r>
        <w:rPr>
          <w:rFonts w:ascii="Times New Roman" w:cs="Times New Roman" w:eastAsia="Times New Roman" w:hAnsi="Times New Roman"/>
          <w:i w:val="false"/>
          <w:iCs w:val="false"/>
          <w:sz w:val="24"/>
          <w:szCs w:val="24"/>
        </w:rPr>
        <w:t xml:space="preserve">Benjamini, Y., &amp; Hochberg, Y. (1995). Controlling the false discovery rate: A practical and powerful approach to multiple testing. </w:t>
      </w:r>
      <w:r>
        <w:rPr>
          <w:rFonts w:ascii="Times New Roman" w:cs="Times New Roman" w:eastAsia="Times New Roman" w:hAnsi="Times New Roman"/>
          <w:i/>
          <w:iCs/>
          <w:sz w:val="24"/>
          <w:szCs w:val="24"/>
        </w:rPr>
        <w:t xml:space="preserve">Journal of the Royal Statistical Society: Series B (Methodological), 57</w:t>
      </w:r>
      <w:r>
        <w:rPr>
          <w:rFonts w:ascii="Times New Roman" w:cs="Times New Roman" w:eastAsia="Times New Roman" w:hAnsi="Times New Roman"/>
          <w:i w:val="false"/>
          <w:iCs w:val="false"/>
          <w:sz w:val="24"/>
          <w:szCs w:val="24"/>
        </w:rPr>
        <w:t xml:space="preserve">(1), 289-300. https://doi.org/10.1111/j.2517-6161.1995.tb02031.x</w:t>
      </w:r>
    </w:p>
    <w:p>
      <w:pPr>
        <w:spacing w:after="0" w:line="480" w:lineRule="auto"/>
        <w:ind w:left="720" w:hanging="720"/>
      </w:pPr>
      <w:r>
        <w:rPr>
          <w:rFonts w:ascii="Times New Roman" w:cs="Times New Roman" w:eastAsia="Times New Roman" w:hAnsi="Times New Roman"/>
          <w:i w:val="false"/>
          <w:iCs w:val="false"/>
          <w:sz w:val="24"/>
          <w:szCs w:val="24"/>
        </w:rPr>
        <w:t xml:space="preserve">Birmaher, B., Khetarpal, S., Brent, D., Cully, M., Balach, L., Kaufman, J., &amp; Neer, S. M. (1997). The Screen for Child Anxiety Related Emotional Disorders (SCARED): Scale construction and psychometric characteristics. </w:t>
      </w:r>
      <w:r>
        <w:rPr>
          <w:rFonts w:ascii="Times New Roman" w:cs="Times New Roman" w:eastAsia="Times New Roman" w:hAnsi="Times New Roman"/>
          <w:i/>
          <w:iCs/>
          <w:sz w:val="24"/>
          <w:szCs w:val="24"/>
        </w:rPr>
        <w:t xml:space="preserve">Journal of the American Academy of Child and Adolescent Psychiatry, 36</w:t>
      </w:r>
      <w:r>
        <w:rPr>
          <w:rFonts w:ascii="Times New Roman" w:cs="Times New Roman" w:eastAsia="Times New Roman" w:hAnsi="Times New Roman"/>
          <w:i w:val="false"/>
          <w:iCs w:val="false"/>
          <w:sz w:val="24"/>
          <w:szCs w:val="24"/>
        </w:rPr>
        <w:t xml:space="preserve">(4), 545-553. https://doi.org/10.1097/00004583-199704000-00018</w:t>
      </w:r>
    </w:p>
    <w:p>
      <w:pPr>
        <w:spacing w:after="0" w:line="480" w:lineRule="auto"/>
        <w:ind w:left="720" w:hanging="720"/>
      </w:pPr>
      <w:r>
        <w:rPr>
          <w:rFonts w:ascii="Times New Roman" w:cs="Times New Roman" w:eastAsia="Times New Roman" w:hAnsi="Times New Roman"/>
          <w:i w:val="false"/>
          <w:iCs w:val="false"/>
          <w:sz w:val="24"/>
          <w:szCs w:val="24"/>
        </w:rPr>
        <w:t xml:space="preserve">Birmaher, B., Brent, D. A., Chiappetta, L., Bridge, J., Monga, S., &amp; Baugher, M. (1999). Psychometric properties of the Screen for Child Anxiety Related Emotional Disorders (SCARED): A replication study. </w:t>
      </w:r>
      <w:r>
        <w:rPr>
          <w:rFonts w:ascii="Times New Roman" w:cs="Times New Roman" w:eastAsia="Times New Roman" w:hAnsi="Times New Roman"/>
          <w:i/>
          <w:iCs/>
          <w:sz w:val="24"/>
          <w:szCs w:val="24"/>
        </w:rPr>
        <w:t xml:space="preserve">Journal of the American Academy of Child and Adolescent Psychiatry, 38</w:t>
      </w:r>
      <w:r>
        <w:rPr>
          <w:rFonts w:ascii="Times New Roman" w:cs="Times New Roman" w:eastAsia="Times New Roman" w:hAnsi="Times New Roman"/>
          <w:i w:val="false"/>
          <w:iCs w:val="false"/>
          <w:sz w:val="24"/>
          <w:szCs w:val="24"/>
        </w:rPr>
        <w:t xml:space="preserve">(10), 1230-1236. https://doi.org/10.1097/00004583-199910000-00011</w:t>
      </w:r>
    </w:p>
    <w:p>
      <w:pPr>
        <w:spacing w:after="0" w:line="480" w:lineRule="auto"/>
        <w:ind w:left="720" w:hanging="720"/>
      </w:pPr>
      <w:r>
        <w:rPr>
          <w:rFonts w:ascii="Times New Roman" w:cs="Times New Roman" w:eastAsia="Times New Roman" w:hAnsi="Times New Roman"/>
          <w:i w:val="false"/>
          <w:iCs w:val="false"/>
          <w:sz w:val="24"/>
          <w:szCs w:val="24"/>
        </w:rPr>
        <w:t xml:space="preserve">Clarkson, T., Savage, C., Arora, A., Quarmley, M., Barack, D. L., Johnston, C. R., Carpenter, A., Archambault, C., Kendall, P. C., Hackel, L., &amp; Jarcho, J. M. (2024). </w:t>
      </w:r>
      <w:r>
        <w:rPr>
          <w:rFonts w:ascii="Times New Roman" w:cs="Times New Roman" w:eastAsia="Times New Roman" w:hAnsi="Times New Roman"/>
          <w:i/>
          <w:iCs/>
          <w:sz w:val="24"/>
          <w:szCs w:val="24"/>
        </w:rPr>
        <w:t xml:space="preserve">Learning to fear social interactions: Dysregulated neural mechanisms of social learning in adolescent social anxiety</w:t>
      </w:r>
      <w:r>
        <w:rPr>
          <w:rFonts w:ascii="Times New Roman" w:cs="Times New Roman" w:eastAsia="Times New Roman" w:hAnsi="Times New Roman"/>
          <w:i w:val="false"/>
          <w:iCs w:val="false"/>
          <w:sz w:val="24"/>
          <w:szCs w:val="24"/>
        </w:rPr>
        <w:t xml:space="preserve"> [Manuscript in preparation]. Department of Psychology and Neuroscience, Temple University.</w:t>
      </w:r>
    </w:p>
    <w:p>
      <w:pPr>
        <w:spacing w:after="0" w:line="480" w:lineRule="auto"/>
        <w:ind w:left="720" w:hanging="720"/>
      </w:pPr>
      <w:r>
        <w:rPr>
          <w:rFonts w:ascii="Times New Roman" w:cs="Times New Roman" w:eastAsia="Times New Roman" w:hAnsi="Times New Roman"/>
          <w:i w:val="false"/>
          <w:iCs w:val="false"/>
          <w:sz w:val="24"/>
          <w:szCs w:val="24"/>
        </w:rPr>
        <w:t xml:space="preserve">Cox, R. W. (1996). AFNI: Software for analysis and visualization of functional magnetic resonance neuroimages. </w:t>
      </w:r>
      <w:r>
        <w:rPr>
          <w:rFonts w:ascii="Times New Roman" w:cs="Times New Roman" w:eastAsia="Times New Roman" w:hAnsi="Times New Roman"/>
          <w:i/>
          <w:iCs/>
          <w:sz w:val="24"/>
          <w:szCs w:val="24"/>
        </w:rPr>
        <w:t xml:space="preserve">Computers and Biomedical Research, 29</w:t>
      </w:r>
      <w:r>
        <w:rPr>
          <w:rFonts w:ascii="Times New Roman" w:cs="Times New Roman" w:eastAsia="Times New Roman" w:hAnsi="Times New Roman"/>
          <w:i w:val="false"/>
          <w:iCs w:val="false"/>
          <w:sz w:val="24"/>
          <w:szCs w:val="24"/>
        </w:rPr>
        <w:t xml:space="preserve">(3), 162-173. https://doi.org/10.1006/cbmr.1996.0014</w:t>
      </w:r>
    </w:p>
    <w:p>
      <w:pPr>
        <w:spacing w:after="0" w:line="480" w:lineRule="auto"/>
        <w:ind w:left="720" w:hanging="720"/>
      </w:pPr>
      <w:r>
        <w:rPr>
          <w:rFonts w:ascii="Times New Roman" w:cs="Times New Roman" w:eastAsia="Times New Roman" w:hAnsi="Times New Roman"/>
          <w:i w:val="false"/>
          <w:iCs w:val="false"/>
          <w:sz w:val="24"/>
          <w:szCs w:val="24"/>
        </w:rPr>
        <w:t xml:space="preserve">Fonov, V., Evans, A. C., Botteron, K., Almli, C. R., McKinstry, R. C., Collins, D. L., &amp; the Brain Development Cooperative Group. (2011). Unbiased average age-appropriate atlases for pediatric studies. </w:t>
      </w:r>
      <w:r>
        <w:rPr>
          <w:rFonts w:ascii="Times New Roman" w:cs="Times New Roman" w:eastAsia="Times New Roman" w:hAnsi="Times New Roman"/>
          <w:i/>
          <w:iCs/>
          <w:sz w:val="24"/>
          <w:szCs w:val="24"/>
        </w:rPr>
        <w:t xml:space="preserve">NeuroImage, 54</w:t>
      </w:r>
      <w:r>
        <w:rPr>
          <w:rFonts w:ascii="Times New Roman" w:cs="Times New Roman" w:eastAsia="Times New Roman" w:hAnsi="Times New Roman"/>
          <w:i w:val="false"/>
          <w:iCs w:val="false"/>
          <w:sz w:val="24"/>
          <w:szCs w:val="24"/>
        </w:rPr>
        <w:t xml:space="preserve">(1), 313-327. https://doi.org/10.1016/j.neuroimage.2010.07.033</w:t>
      </w:r>
    </w:p>
    <w:p>
      <w:pPr>
        <w:spacing w:after="0" w:line="480" w:lineRule="auto"/>
        <w:ind w:left="720" w:hanging="720"/>
      </w:pPr>
      <w:r>
        <w:rPr>
          <w:rFonts w:ascii="Times New Roman" w:cs="Times New Roman" w:eastAsia="Times New Roman" w:hAnsi="Times New Roman"/>
          <w:i w:val="false"/>
          <w:iCs w:val="false"/>
          <w:sz w:val="24"/>
          <w:szCs w:val="24"/>
        </w:rPr>
        <w:t xml:space="preserve">Frazier, J. A., Chiu, S., Breeze, J. L., Makris, N., Lange, N., Kennedy, D. N., Herbert, M. R., Bent, E. K., Koneru, V. K., Dieterich, M. E., Hodge, S. M., Rauch, S. L., Grant, P. E., Cohen, B. M., Seidman, L. J., Caviness, V. S., &amp; Biederman, J. (2005). Structural brain magnetic resonance imaging of limbic and thalamic volumes in pediatric bipolar disorder. </w:t>
      </w:r>
      <w:r>
        <w:rPr>
          <w:rFonts w:ascii="Times New Roman" w:cs="Times New Roman" w:eastAsia="Times New Roman" w:hAnsi="Times New Roman"/>
          <w:i/>
          <w:iCs/>
          <w:sz w:val="24"/>
          <w:szCs w:val="24"/>
        </w:rPr>
        <w:t xml:space="preserve">American Journal of Psychiatry, 162</w:t>
      </w:r>
      <w:r>
        <w:rPr>
          <w:rFonts w:ascii="Times New Roman" w:cs="Times New Roman" w:eastAsia="Times New Roman" w:hAnsi="Times New Roman"/>
          <w:i w:val="false"/>
          <w:iCs w:val="false"/>
          <w:sz w:val="24"/>
          <w:szCs w:val="24"/>
        </w:rPr>
        <w:t xml:space="preserve">(7), 1256-1265. https://doi.org/10.1176/appi.ajp.162.7.1256</w:t>
      </w:r>
    </w:p>
    <w:p>
      <w:pPr>
        <w:spacing w:after="0" w:line="480" w:lineRule="auto"/>
        <w:ind w:left="720" w:hanging="720"/>
      </w:pPr>
      <w:r>
        <w:rPr>
          <w:rFonts w:ascii="Times New Roman" w:cs="Times New Roman" w:eastAsia="Times New Roman" w:hAnsi="Times New Roman"/>
          <w:i w:val="false"/>
          <w:iCs w:val="false"/>
          <w:sz w:val="24"/>
          <w:szCs w:val="24"/>
        </w:rPr>
        <w:t xml:space="preserve">Goldstein, J. M., Seidman, L. J., Makris, N., Ahern, T., O'Brien, L. M., Caviness, V. S., Kennedy, D. N., Faraone, S. V., &amp; Tsuang, M. T. (2007). Hypothalamic abnormalities in schizophrenia: Sex effects and genetic vulnerability. </w:t>
      </w:r>
      <w:r>
        <w:rPr>
          <w:rFonts w:ascii="Times New Roman" w:cs="Times New Roman" w:eastAsia="Times New Roman" w:hAnsi="Times New Roman"/>
          <w:i/>
          <w:iCs/>
          <w:sz w:val="24"/>
          <w:szCs w:val="24"/>
        </w:rPr>
        <w:t xml:space="preserve">Biological Psychiatry, 61</w:t>
      </w:r>
      <w:r>
        <w:rPr>
          <w:rFonts w:ascii="Times New Roman" w:cs="Times New Roman" w:eastAsia="Times New Roman" w:hAnsi="Times New Roman"/>
          <w:i w:val="false"/>
          <w:iCs w:val="false"/>
          <w:sz w:val="24"/>
          <w:szCs w:val="24"/>
        </w:rPr>
        <w:t xml:space="preserve">(8), 935-945. https://doi.org/10.1016/j.biopsych.2006.06.027</w:t>
      </w:r>
    </w:p>
    <w:p>
      <w:pPr>
        <w:spacing w:after="0" w:line="480" w:lineRule="auto"/>
        <w:ind w:left="720" w:hanging="720"/>
      </w:pPr>
      <w:r>
        <w:rPr>
          <w:rFonts w:ascii="Times New Roman" w:cs="Times New Roman" w:eastAsia="Times New Roman" w:hAnsi="Times New Roman"/>
          <w:i w:val="false"/>
          <w:iCs w:val="false"/>
          <w:sz w:val="24"/>
          <w:szCs w:val="24"/>
        </w:rPr>
        <w:t xml:space="preserve">Hasson, U., Nir, Y., Levy, I., Fuhrmann, G., &amp; Malach, R. (2004). Intersubject synchronization of cortical activity during natural vision. </w:t>
      </w:r>
      <w:r>
        <w:rPr>
          <w:rFonts w:ascii="Times New Roman" w:cs="Times New Roman" w:eastAsia="Times New Roman" w:hAnsi="Times New Roman"/>
          <w:i/>
          <w:iCs/>
          <w:sz w:val="24"/>
          <w:szCs w:val="24"/>
        </w:rPr>
        <w:t xml:space="preserve">Science, 303</w:t>
      </w:r>
      <w:r>
        <w:rPr>
          <w:rFonts w:ascii="Times New Roman" w:cs="Times New Roman" w:eastAsia="Times New Roman" w:hAnsi="Times New Roman"/>
          <w:i w:val="false"/>
          <w:iCs w:val="false"/>
          <w:sz w:val="24"/>
          <w:szCs w:val="24"/>
        </w:rPr>
        <w:t xml:space="preserve">(5664), 1634-1640. https://doi.org/10.1126/science.1089506</w:t>
      </w:r>
    </w:p>
    <w:p>
      <w:pPr>
        <w:spacing w:after="0" w:line="480" w:lineRule="auto"/>
        <w:ind w:left="720" w:hanging="720"/>
      </w:pPr>
      <w:r>
        <w:rPr>
          <w:rFonts w:ascii="Times New Roman" w:cs="Times New Roman" w:eastAsia="Times New Roman" w:hAnsi="Times New Roman"/>
          <w:i w:val="false"/>
          <w:iCs w:val="false"/>
          <w:sz w:val="24"/>
          <w:szCs w:val="24"/>
        </w:rPr>
        <w:t xml:space="preserve">Jarcho, J. M., Leibenluft, E., Walker, O. L., Fox, N. A., Pine, D. S., &amp; Nelson, E. E. (2013). Neuroimaging studies of pediatric social anxiety: Paradigms, pitfalls and a new direction for investigating the neural mechanisms. </w:t>
      </w:r>
      <w:r>
        <w:rPr>
          <w:rFonts w:ascii="Times New Roman" w:cs="Times New Roman" w:eastAsia="Times New Roman" w:hAnsi="Times New Roman"/>
          <w:i/>
          <w:iCs/>
          <w:sz w:val="24"/>
          <w:szCs w:val="24"/>
        </w:rPr>
        <w:t xml:space="preserve">Biology of Mood &amp; Anxiety Disorders, 3</w:t>
      </w:r>
      <w:r>
        <w:rPr>
          <w:rFonts w:ascii="Times New Roman" w:cs="Times New Roman" w:eastAsia="Times New Roman" w:hAnsi="Times New Roman"/>
          <w:i w:val="false"/>
          <w:iCs w:val="false"/>
          <w:sz w:val="24"/>
          <w:szCs w:val="24"/>
        </w:rPr>
        <w:t xml:space="preserve">, 14. https://doi.org/10.1186/2045-5380-3-14</w:t>
      </w:r>
    </w:p>
    <w:p>
      <w:pPr>
        <w:spacing w:after="0" w:line="480" w:lineRule="auto"/>
        <w:ind w:left="720" w:hanging="720"/>
      </w:pPr>
      <w:r>
        <w:rPr>
          <w:rFonts w:ascii="Times New Roman" w:cs="Times New Roman" w:eastAsia="Times New Roman" w:hAnsi="Times New Roman"/>
          <w:i w:val="false"/>
          <w:iCs w:val="false"/>
          <w:sz w:val="24"/>
          <w:szCs w:val="24"/>
        </w:rPr>
        <w:t xml:space="preserve">Jarcho, J. M., Davis, M. M., Shechner, T., Degnan, K. A., Henderson, H. A., Stoddard, J., Fox, N. A., Leibenluft, E., Pine, D. S., &amp; Nelson, E. E. (2016). Early-childhood social reticence predicts brain function in preadolescent youths during distinct forms of peer evaluation. </w:t>
      </w:r>
      <w:r>
        <w:rPr>
          <w:rFonts w:ascii="Times New Roman" w:cs="Times New Roman" w:eastAsia="Times New Roman" w:hAnsi="Times New Roman"/>
          <w:i/>
          <w:iCs/>
          <w:sz w:val="24"/>
          <w:szCs w:val="24"/>
        </w:rPr>
        <w:t xml:space="preserve">Psychological Science, 27</w:t>
      </w:r>
      <w:r>
        <w:rPr>
          <w:rFonts w:ascii="Times New Roman" w:cs="Times New Roman" w:eastAsia="Times New Roman" w:hAnsi="Times New Roman"/>
          <w:i w:val="false"/>
          <w:iCs w:val="false"/>
          <w:sz w:val="24"/>
          <w:szCs w:val="24"/>
        </w:rPr>
        <w:t xml:space="preserve">(6), 821-835. https://doi.org/10.1177/0956797616638319</w:t>
      </w:r>
    </w:p>
    <w:p>
      <w:pPr>
        <w:spacing w:after="0" w:line="480" w:lineRule="auto"/>
        <w:ind w:left="720" w:hanging="720"/>
      </w:pPr>
      <w:r>
        <w:rPr>
          <w:rFonts w:ascii="Times New Roman" w:cs="Times New Roman" w:eastAsia="Times New Roman" w:hAnsi="Times New Roman"/>
          <w:i w:val="false"/>
          <w:iCs w:val="false"/>
          <w:sz w:val="24"/>
          <w:szCs w:val="24"/>
        </w:rPr>
        <w:t xml:space="preserve">Kriegeskorte, N., Mur, M., &amp; Bandettini, P. (2008). Representational similarity analysis: Connecting the branches of systems neuroscience. </w:t>
      </w:r>
      <w:r>
        <w:rPr>
          <w:rFonts w:ascii="Times New Roman" w:cs="Times New Roman" w:eastAsia="Times New Roman" w:hAnsi="Times New Roman"/>
          <w:i/>
          <w:iCs/>
          <w:sz w:val="24"/>
          <w:szCs w:val="24"/>
        </w:rPr>
        <w:t xml:space="preserve">Frontiers in Systems Neuroscience, 2</w:t>
      </w:r>
      <w:r>
        <w:rPr>
          <w:rFonts w:ascii="Times New Roman" w:cs="Times New Roman" w:eastAsia="Times New Roman" w:hAnsi="Times New Roman"/>
          <w:i w:val="false"/>
          <w:iCs w:val="false"/>
          <w:sz w:val="24"/>
          <w:szCs w:val="24"/>
        </w:rPr>
        <w:t xml:space="preserve">, 4. https://doi.org/10.3389/neuro.06.004.2008</w:t>
      </w:r>
    </w:p>
    <w:p>
      <w:pPr>
        <w:spacing w:after="0" w:line="480" w:lineRule="auto"/>
        <w:ind w:left="720" w:hanging="720"/>
      </w:pPr>
      <w:r>
        <w:rPr>
          <w:rFonts w:ascii="Times New Roman" w:cs="Times New Roman" w:eastAsia="Times New Roman" w:hAnsi="Times New Roman"/>
          <w:i w:val="false"/>
          <w:iCs w:val="false"/>
          <w:sz w:val="24"/>
          <w:szCs w:val="24"/>
        </w:rPr>
        <w:t xml:space="preserve">Makris, N., Goldstein, J. M., Kennedy, D., Hodge, S. M., Caviness, V. S., Faraone, S. V., Tsuang, M. T., &amp; Seidman, L. J. (2006). Decreased volume of left and total anterior insular lobule in schizophrenia. </w:t>
      </w:r>
      <w:r>
        <w:rPr>
          <w:rFonts w:ascii="Times New Roman" w:cs="Times New Roman" w:eastAsia="Times New Roman" w:hAnsi="Times New Roman"/>
          <w:i/>
          <w:iCs/>
          <w:sz w:val="24"/>
          <w:szCs w:val="24"/>
        </w:rPr>
        <w:t xml:space="preserve">Schizophrenia Research, 83</w:t>
      </w:r>
      <w:r>
        <w:rPr>
          <w:rFonts w:ascii="Times New Roman" w:cs="Times New Roman" w:eastAsia="Times New Roman" w:hAnsi="Times New Roman"/>
          <w:i w:val="false"/>
          <w:iCs w:val="false"/>
          <w:sz w:val="24"/>
          <w:szCs w:val="24"/>
        </w:rPr>
        <w:t xml:space="preserve">(2-3), 155-171. https://doi.org/10.1016/j.schres.2005.11.020</w:t>
      </w:r>
    </w:p>
    <w:p>
      <w:pPr>
        <w:spacing w:after="0" w:line="480" w:lineRule="auto"/>
        <w:ind w:left="720" w:hanging="720"/>
      </w:pPr>
      <w:r>
        <w:rPr>
          <w:rFonts w:ascii="Times New Roman" w:cs="Times New Roman" w:eastAsia="Times New Roman" w:hAnsi="Times New Roman"/>
          <w:i w:val="false"/>
          <w:iCs w:val="false"/>
          <w:sz w:val="24"/>
          <w:szCs w:val="24"/>
        </w:rPr>
        <w:t xml:space="preserve">Nastase, S. A., Gazzola, V., Hasson, U., &amp; Keysers, C. (2019). Measuring shared responses across subjects using intersubject correlation. </w:t>
      </w:r>
      <w:r>
        <w:rPr>
          <w:rFonts w:ascii="Times New Roman" w:cs="Times New Roman" w:eastAsia="Times New Roman" w:hAnsi="Times New Roman"/>
          <w:i/>
          <w:iCs/>
          <w:sz w:val="24"/>
          <w:szCs w:val="24"/>
        </w:rPr>
        <w:t xml:space="preserve">Social Cognitive and Affective Neuroscience, 14</w:t>
      </w:r>
      <w:r>
        <w:rPr>
          <w:rFonts w:ascii="Times New Roman" w:cs="Times New Roman" w:eastAsia="Times New Roman" w:hAnsi="Times New Roman"/>
          <w:i w:val="false"/>
          <w:iCs w:val="false"/>
          <w:sz w:val="24"/>
          <w:szCs w:val="24"/>
        </w:rPr>
        <w:t xml:space="preserve">(6), 667-685. https://doi.org/10.1093/scan/nsz037</w:t>
      </w:r>
    </w:p>
    <w:p>
      <w:pPr>
        <w:spacing w:after="0" w:line="480" w:lineRule="auto"/>
        <w:ind w:left="720" w:hanging="720"/>
      </w:pPr>
      <w:r>
        <w:rPr>
          <w:rFonts w:ascii="Times New Roman" w:cs="Times New Roman" w:eastAsia="Times New Roman" w:hAnsi="Times New Roman"/>
          <w:i w:val="false"/>
          <w:iCs w:val="false"/>
          <w:sz w:val="24"/>
          <w:szCs w:val="24"/>
        </w:rPr>
        <w:t xml:space="preserve">Silverman, W. K., &amp; Albano, A. M. (1996). </w:t>
      </w:r>
      <w:r>
        <w:rPr>
          <w:rFonts w:ascii="Times New Roman" w:cs="Times New Roman" w:eastAsia="Times New Roman" w:hAnsi="Times New Roman"/>
          <w:i/>
          <w:iCs/>
          <w:sz w:val="24"/>
          <w:szCs w:val="24"/>
        </w:rPr>
        <w:t xml:space="preserve">Anxiety Disorders Interview Schedule for DSM-IV: Child and Parent Versions</w:t>
      </w:r>
      <w:r>
        <w:rPr>
          <w:rFonts w:ascii="Times New Roman" w:cs="Times New Roman" w:eastAsia="Times New Roman" w:hAnsi="Times New Roman"/>
          <w:i w:val="false"/>
          <w:iCs w:val="false"/>
          <w:sz w:val="24"/>
          <w:szCs w:val="24"/>
        </w:rPr>
        <w:t xml:space="preserve">. Graywind Publications/Psychological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d06fec21e35641b5b04aea55cde2e05c1b13b1.png"/><Relationship Id="rId8" Type="http://schemas.openxmlformats.org/officeDocument/2006/relationships/image" Target="media/eded4e76bf8373c2b904354cd1f9cfcc57c1977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2026-07-20T17:13:51.424Z</dcterms:created>
  <dcterms:modified xsi:type="dcterms:W3CDTF">2026-07-20T17:13:51.425Z</dcterms:modified>
</cp:coreProperties>
</file>

<file path=docProps/custom.xml><?xml version="1.0" encoding="utf-8"?>
<Properties xmlns="http://schemas.openxmlformats.org/officeDocument/2006/custom-properties" xmlns:vt="http://schemas.openxmlformats.org/officeDocument/2006/docPropsVTypes"/>
</file>