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jc w:val="center"/>
      </w:pPr>
      <w:r>
        <w:rPr>
          <w:rFonts w:ascii="Calibri" w:hAnsi="Calibri" w:eastAsia="黑体"/>
          <w:b/>
          <w:i w:val="0"/>
          <w:color w:val="A56A16"/>
          <w:sz w:val="22"/>
        </w:rPr>
        <w:t>第二章前期调研材料</w:t>
      </w:r>
    </w:p>
    <w:p>
      <w:pPr>
        <w:spacing w:before="240" w:after="240"/>
        <w:jc w:val="center"/>
      </w:pPr>
      <w:r>
        <w:rPr>
          <w:rFonts w:ascii="Calibri" w:hAnsi="Calibri" w:eastAsia="黑体"/>
          <w:b/>
          <w:i w:val="0"/>
          <w:color w:val="17365D"/>
          <w:sz w:val="56"/>
        </w:rPr>
        <w:t>感觉功能缺口与系统需求</w:t>
      </w:r>
    </w:p>
    <w:p>
      <w:pPr>
        <w:spacing w:after="720"/>
        <w:jc w:val="center"/>
      </w:pPr>
      <w:r>
        <w:rPr>
          <w:rFonts w:ascii="Calibri" w:hAnsi="Calibri" w:eastAsia="黑体"/>
          <w:b w:val="0"/>
          <w:i w:val="0"/>
          <w:color w:val="2E5F8A"/>
          <w:sz w:val="28"/>
        </w:rPr>
        <w:t>面向关节角度、指尖三维力与温度感知的文献调研和市场分析</w:t>
      </w:r>
    </w:p>
    <w:p>
      <w:pPr>
        <w:spacing w:after="160"/>
        <w:jc w:val="center"/>
      </w:pPr>
      <w:r>
        <w:rPr>
          <w:rFonts w:ascii="Calibri" w:hAnsi="Calibri" w:eastAsia="宋体"/>
          <w:b w:val="0"/>
          <w:i w:val="0"/>
          <w:color w:val="667085"/>
          <w:sz w:val="21"/>
        </w:rPr>
        <w:t>用途：论文第二章“功能缺口与系统需求”论证及后续真人实验假设设计</w:t>
      </w:r>
    </w:p>
    <w:p>
      <w:pPr>
        <w:jc w:val="center"/>
      </w:pPr>
      <w:r>
        <w:rPr>
          <w:rFonts w:ascii="Calibri" w:hAnsi="Calibri" w:eastAsia="宋体"/>
          <w:b w:val="0"/>
          <w:i w:val="0"/>
          <w:color w:val="667085"/>
          <w:sz w:val="21"/>
        </w:rPr>
        <w:t>市场资料核验日期：2026年9月3日</w:t>
      </w:r>
    </w:p>
    <w:p>
      <w:r>
        <w:br w:type="page"/>
      </w:r>
    </w:p>
    <w:p>
      <w:pPr>
        <w:pStyle w:val="Heading1"/>
        <w:keepNext/>
      </w:pPr>
      <w:r>
        <w:rPr>
          <w:rFonts w:ascii="Calibri" w:hAnsi="Calibri" w:eastAsia="黑体"/>
          <w:b/>
          <w:i w:val="0"/>
          <w:color w:val="2E5F8A"/>
          <w:sz w:val="32"/>
        </w:rPr>
        <w:t>摘要</w:t>
      </w:r>
    </w:p>
    <w:p>
      <w:pPr>
        <w:spacing w:before="0" w:after="160" w:line="320" w:lineRule="auto"/>
        <w:ind w:firstLine="440"/>
        <w:jc w:val="both"/>
      </w:pPr>
      <w:r>
        <w:rPr>
          <w:rFonts w:ascii="Calibri" w:hAnsi="Calibri" w:eastAsia="宋体"/>
          <w:b w:val="0"/>
          <w:i w:val="0"/>
          <w:color w:val="000000"/>
          <w:sz w:val="22"/>
        </w:rPr>
        <w:t>本报告围绕灵巧假肢感觉功能缺口及系统需求展开，重点回答五个问题：现有假肢缺少什么感觉、感觉缺失造成什么操作问题、角度/指尖三维力/温度分别对应哪些问题、系统需要具备哪些感知与反馈能力，以及后续真人实验应验证哪些研究假设。证据来源包括用户需求调查、感觉反馈综述、视觉注意与认知负担研究、关节开度和抓握力反馈实验、温度反馈研究，以及代表性商用产品的官方资料。调研结果表明，商用灵巧假肢已普遍改善多抓型、驱动自由度和控制接口，但从假手到使用者的感觉通路仍明显弱于从使用者到假手的控制通路。关节角度、指尖三维力和温度并非同质信息：角度主要回答“假手处于何种姿态”，三维力回答“如何接触及是否将滑移”，温度回答“接触对象处于何种热状态及是否存在风险”。三者具有互补性，但证据强度不同：抓握力和手部开度反馈已有较多实验支持，温度反馈具有明确的不可视状态识别与安全价值，但临床研究规模仍小，应在后续真人实验中审慎验证。</w:t>
      </w:r>
    </w:p>
    <w:p>
      <w:pPr>
        <w:keepLines/>
        <w:spacing w:before="120" w:after="200"/>
        <w:ind w:left="115" w:right="115"/>
        <w:shd w:fill="EAF1F8"/>
        <w:pBdr>
          <w:top w:val="single" w:sz="6" w:space="5" w:color="C7D5E3"/>
          <w:left w:val="single" w:sz="6" w:space="5" w:color="C7D5E3"/>
          <w:bottom w:val="single" w:sz="6" w:space="5" w:color="C7D5E3"/>
          <w:right w:val="single" w:sz="6" w:space="5" w:color="C7D5E3"/>
        </w:pBdr>
      </w:pPr>
      <w:r>
        <w:rPr>
          <w:rFonts w:ascii="Calibri" w:hAnsi="Calibri" w:eastAsia="黑体"/>
          <w:b/>
          <w:i w:val="0"/>
          <w:color w:val="17365D"/>
          <w:sz w:val="20"/>
        </w:rPr>
        <w:t xml:space="preserve">核心结论  </w:t>
      </w:r>
      <w:r>
        <w:rPr>
          <w:rFonts w:ascii="Calibri" w:hAnsi="Calibri" w:eastAsia="宋体"/>
          <w:b w:val="0"/>
          <w:i w:val="0"/>
          <w:color w:val="17365D"/>
          <w:sz w:val="20"/>
        </w:rPr>
        <w:t>第二章应完成“功能缺口→任务后果→信息需求→系统需求→研究假设”的推导，而不是提前宣称已经恢复本体感觉或触觉。真人实验章节再验证这些信息是否降低视觉依赖、改善操作绩效并控制认知负担。</w:t>
      </w:r>
    </w:p>
    <w:p>
      <w:pPr>
        <w:pStyle w:val="Heading1"/>
        <w:keepNext/>
      </w:pPr>
      <w:r>
        <w:rPr>
          <w:rFonts w:ascii="Calibri" w:hAnsi="Calibri" w:eastAsia="黑体"/>
          <w:b/>
          <w:i w:val="0"/>
          <w:color w:val="2E5F8A"/>
          <w:sz w:val="32"/>
        </w:rPr>
        <w:t>1 调研目的、范围与方法</w:t>
      </w:r>
    </w:p>
    <w:p>
      <w:pPr>
        <w:pStyle w:val="Heading2"/>
        <w:keepNext/>
      </w:pPr>
      <w:r>
        <w:rPr>
          <w:rFonts w:ascii="Calibri" w:hAnsi="Calibri" w:eastAsia="黑体"/>
          <w:b/>
          <w:i w:val="0"/>
          <w:color w:val="2E5F8A"/>
          <w:sz w:val="26"/>
        </w:rPr>
        <w:t>1.1 研究问题</w:t>
      </w:r>
    </w:p>
    <w:p>
      <w:pPr>
        <w:pStyle w:val="ListBullet"/>
        <w:spacing w:after="120" w:line="280" w:lineRule="auto"/>
        <w:ind w:left="720" w:hanging="360"/>
      </w:pPr>
      <w:r>
        <w:rPr>
          <w:rFonts w:ascii="Calibri" w:hAnsi="Calibri" w:eastAsia="宋体"/>
          <w:b/>
          <w:i w:val="0"/>
          <w:color w:val="2E5F8A"/>
          <w:sz w:val="22"/>
        </w:rPr>
        <w:t>RQ1：</w:t>
      </w:r>
      <w:r>
        <w:rPr>
          <w:rFonts w:ascii="Calibri" w:hAnsi="Calibri" w:eastAsia="宋体"/>
          <w:b w:val="0"/>
          <w:i w:val="0"/>
          <w:color w:val="000000"/>
          <w:sz w:val="22"/>
        </w:rPr>
        <w:t>现有上肢灵巧假肢缺少哪些与自然手对应的感觉信息？</w:t>
      </w:r>
    </w:p>
    <w:p>
      <w:pPr>
        <w:pStyle w:val="ListBullet"/>
        <w:spacing w:after="120" w:line="280" w:lineRule="auto"/>
        <w:ind w:left="720" w:hanging="360"/>
      </w:pPr>
      <w:r>
        <w:rPr>
          <w:rFonts w:ascii="Calibri" w:hAnsi="Calibri" w:eastAsia="宋体"/>
          <w:b/>
          <w:i w:val="0"/>
          <w:color w:val="2E5F8A"/>
          <w:sz w:val="22"/>
        </w:rPr>
        <w:t>RQ2：</w:t>
      </w:r>
      <w:r>
        <w:rPr>
          <w:rFonts w:ascii="Calibri" w:hAnsi="Calibri" w:eastAsia="宋体"/>
          <w:b w:val="0"/>
          <w:i w:val="0"/>
          <w:color w:val="000000"/>
          <w:sz w:val="22"/>
        </w:rPr>
        <w:t>感觉缺失如何影响抓握、操控、安全、视觉注意和认知负担？</w:t>
      </w:r>
    </w:p>
    <w:p>
      <w:pPr>
        <w:pStyle w:val="ListBullet"/>
        <w:spacing w:after="120" w:line="280" w:lineRule="auto"/>
        <w:ind w:left="720" w:hanging="360"/>
      </w:pPr>
      <w:r>
        <w:rPr>
          <w:rFonts w:ascii="Calibri" w:hAnsi="Calibri" w:eastAsia="宋体"/>
          <w:b/>
          <w:i w:val="0"/>
          <w:color w:val="2E5F8A"/>
          <w:sz w:val="22"/>
        </w:rPr>
        <w:t>RQ3：</w:t>
      </w:r>
      <w:r>
        <w:rPr>
          <w:rFonts w:ascii="Calibri" w:hAnsi="Calibri" w:eastAsia="宋体"/>
          <w:b w:val="0"/>
          <w:i w:val="0"/>
          <w:color w:val="000000"/>
          <w:sz w:val="22"/>
        </w:rPr>
        <w:t>关节角度、指尖三维力和温度分别能够减少哪些任务不确定性？</w:t>
      </w:r>
    </w:p>
    <w:p>
      <w:pPr>
        <w:pStyle w:val="ListBullet"/>
        <w:spacing w:after="120" w:line="280" w:lineRule="auto"/>
        <w:ind w:left="720" w:hanging="360"/>
      </w:pPr>
      <w:r>
        <w:rPr>
          <w:rFonts w:ascii="Calibri" w:hAnsi="Calibri" w:eastAsia="宋体"/>
          <w:b/>
          <w:i w:val="0"/>
          <w:color w:val="2E5F8A"/>
          <w:sz w:val="22"/>
        </w:rPr>
        <w:t>RQ4：</w:t>
      </w:r>
      <w:r>
        <w:rPr>
          <w:rFonts w:ascii="Calibri" w:hAnsi="Calibri" w:eastAsia="宋体"/>
          <w:b w:val="0"/>
          <w:i w:val="0"/>
          <w:color w:val="000000"/>
          <w:sz w:val="22"/>
        </w:rPr>
        <w:t>多模态感知系统应具备哪些传感、处理、反馈和安全能力？</w:t>
      </w:r>
    </w:p>
    <w:p>
      <w:pPr>
        <w:pStyle w:val="ListBullet"/>
        <w:spacing w:after="120" w:line="280" w:lineRule="auto"/>
        <w:ind w:left="720" w:hanging="360"/>
      </w:pPr>
      <w:r>
        <w:rPr>
          <w:rFonts w:ascii="Calibri" w:hAnsi="Calibri" w:eastAsia="宋体"/>
          <w:b/>
          <w:i w:val="0"/>
          <w:color w:val="2E5F8A"/>
          <w:sz w:val="22"/>
        </w:rPr>
        <w:t>RQ5：</w:t>
      </w:r>
      <w:r>
        <w:rPr>
          <w:rFonts w:ascii="Calibri" w:hAnsi="Calibri" w:eastAsia="宋体"/>
          <w:b w:val="0"/>
          <w:i w:val="0"/>
          <w:color w:val="000000"/>
          <w:sz w:val="22"/>
        </w:rPr>
        <w:t>后续正常受试者或截肢患者实验应检验哪些可证伪假设？</w:t>
      </w:r>
    </w:p>
    <w:p>
      <w:pPr>
        <w:pStyle w:val="Heading2"/>
        <w:keepNext/>
      </w:pPr>
      <w:r>
        <w:rPr>
          <w:rFonts w:ascii="Calibri" w:hAnsi="Calibri" w:eastAsia="黑体"/>
          <w:b/>
          <w:i w:val="0"/>
          <w:color w:val="2E5F8A"/>
          <w:sz w:val="26"/>
        </w:rPr>
        <w:t>1.2 检索与证据纳入原则</w:t>
      </w:r>
    </w:p>
    <w:p>
      <w:pPr>
        <w:spacing w:before="0" w:after="160" w:line="320" w:lineRule="auto"/>
        <w:ind w:firstLine="440"/>
        <w:jc w:val="both"/>
      </w:pPr>
      <w:r>
        <w:rPr>
          <w:rFonts w:ascii="Calibri" w:hAnsi="Calibri" w:eastAsia="宋体"/>
          <w:b w:val="0"/>
          <w:i w:val="0"/>
          <w:color w:val="000000"/>
          <w:sz w:val="22"/>
        </w:rPr>
        <w:t>本报告属于面向第二章写作的定向叙述性调研，并非按PRISMA流程注册和执行的系统综述。学术证据优先采用同行评议论文、系统/叙述综述、用户调查和包含正常受试者或上肢缺失受试者的实验研究。检索主题覆盖 upper-limb prosthesis、sensory feedback、proprioception、hand aperture、grip force、shear force、slip、temperature、thermal sensation、visual attention、gaze 和 cognitive load。市场分析以厂商官网、产品说明书和官方技术资料为主，不以经销商宣传或二手媒体替代产品事实。</w:t>
      </w:r>
    </w:p>
    <w:p>
      <w:pPr>
        <w:spacing w:before="0" w:after="160" w:line="320" w:lineRule="auto"/>
        <w:ind w:firstLine="440"/>
        <w:jc w:val="both"/>
      </w:pPr>
      <w:r>
        <w:rPr>
          <w:rFonts w:ascii="Calibri" w:hAnsi="Calibri" w:eastAsia="宋体"/>
          <w:b w:val="0"/>
          <w:i w:val="0"/>
          <w:color w:val="000000"/>
          <w:sz w:val="22"/>
        </w:rPr>
        <w:t>证据解释采用分层原则：用户调查用于证明需求存在；视觉注意和功能实验用于说明感觉缺失的任务后果；传感与反馈实验用于说明某类信息可能产生的增益；商用产品资料用于判断技术转化程度。厂商“未公开描述”不能等同于设备内部绝对没有相关传感器，因此市场表格使用“未见公开说明”等谨慎措辞。</w:t>
      </w:r>
    </w:p>
    <w:p>
      <w:pPr>
        <w:pStyle w:val="Heading2"/>
        <w:keepNext/>
      </w:pPr>
      <w:r>
        <w:rPr>
          <w:rFonts w:ascii="Calibri" w:hAnsi="Calibri" w:eastAsia="黑体"/>
          <w:b/>
          <w:i w:val="0"/>
          <w:color w:val="2E5F8A"/>
          <w:sz w:val="26"/>
        </w:rPr>
        <w:t>1.3 术语与论证边界</w:t>
      </w:r>
    </w:p>
    <w:p>
      <w:pPr>
        <w:spacing w:before="0" w:after="160" w:line="320" w:lineRule="auto"/>
        <w:ind w:firstLine="440"/>
        <w:jc w:val="both"/>
      </w:pPr>
      <w:r>
        <w:rPr>
          <w:rFonts w:ascii="Calibri" w:hAnsi="Calibri" w:eastAsia="宋体"/>
          <w:b w:val="0"/>
          <w:i w:val="0"/>
          <w:color w:val="000000"/>
          <w:sz w:val="22"/>
        </w:rPr>
        <w:t>“感知”与“感觉反馈”应严格区分。传感器安装在假手上，只能说明系统能够测得假手状态或接触状态；只有这些信息经编码并通过振动、电刺激、机械刺激、热刺激或神经刺激等通道传递给使用者，才构成人机感觉反馈。若后续研究只实现传感与控制闭环，应称为“多模态状态感知”；若完成了人与假手之间的闭环并经真人验证，才可进一步讨论“人工本体反馈”“触觉反馈”或“热感觉反馈”。</w:t>
      </w:r>
    </w:p>
    <w:p>
      <w:pPr>
        <w:pStyle w:val="Heading1"/>
        <w:keepNext/>
      </w:pPr>
      <w:r>
        <w:rPr>
          <w:rFonts w:ascii="Calibri" w:hAnsi="Calibri" w:eastAsia="黑体"/>
          <w:b/>
          <w:i w:val="0"/>
          <w:color w:val="2E5F8A"/>
          <w:sz w:val="32"/>
        </w:rPr>
        <w:t>2 现有假肢缺少什么感觉</w:t>
      </w:r>
    </w:p>
    <w:p>
      <w:pPr>
        <w:pStyle w:val="Heading2"/>
        <w:keepNext/>
      </w:pPr>
      <w:r>
        <w:rPr>
          <w:rFonts w:ascii="Calibri" w:hAnsi="Calibri" w:eastAsia="黑体"/>
          <w:b/>
          <w:i w:val="0"/>
          <w:color w:val="2E5F8A"/>
          <w:sz w:val="26"/>
        </w:rPr>
        <w:t>2.1 自然手的感觉—运动闭环与假肢断点</w:t>
      </w:r>
    </w:p>
    <w:p>
      <w:pPr>
        <w:spacing w:before="0" w:after="160" w:line="320" w:lineRule="auto"/>
        <w:ind w:firstLine="440"/>
        <w:jc w:val="both"/>
      </w:pPr>
      <w:r>
        <w:rPr>
          <w:rFonts w:ascii="Calibri" w:hAnsi="Calibri" w:eastAsia="宋体"/>
          <w:b w:val="0"/>
          <w:i w:val="0"/>
          <w:color w:val="000000"/>
          <w:sz w:val="22"/>
        </w:rPr>
        <w:t>自然手的控制并非单向运动输出。中枢神经系统持续接收关节、肌肉和皮肤感受器提供的本体、接触、力、滑移、纹理与温度信息，并据此更新内部状态估计。多数肌电假肢主要实现“肌电命令→假手运动”的传出通路，而“假手状态/环境交互→使用者”的传入通路有限。Cordella等指出，力觉或触觉反馈缺失会限制抓握能力，并将感觉反馈、稳定抓握、防滑和较少视觉注意归纳为重要需求[1]。</w:t>
      </w:r>
    </w:p>
    <w:p>
      <w:pPr>
        <w:spacing w:before="0" w:after="160" w:line="320" w:lineRule="auto"/>
        <w:ind w:firstLine="440"/>
        <w:jc w:val="both"/>
      </w:pPr>
      <w:r>
        <w:rPr>
          <w:rFonts w:ascii="Calibri" w:hAnsi="Calibri" w:eastAsia="宋体"/>
          <w:b w:val="0"/>
          <w:i w:val="0"/>
          <w:color w:val="000000"/>
          <w:sz w:val="22"/>
        </w:rPr>
        <w:t>用户研究也支持感觉缺口的现实性。Biddiss等对242名上肢缺失者的调查将缺少感觉反馈和灵巧性不足列为电动假肢的重要设计问题，同时提醒重量、舒适性、成本和可靠性同样可能具有更高优先级[2]。较新的混合方法研究显示，使用者期望反馈提高信任，但要求反馈可靠、覆盖合适区域，并且不得造成混乱或不适[3]。对142名假肢使用者的调查则发现，抓握力与轻柔振动的组合最受欢迎，拉拉链、系鞋带、扣纽扣和使用杯子等任务被认为可能受益[4]。</w:t>
      </w:r>
    </w:p>
    <w:p>
      <w:pPr>
        <w:spacing w:before="0" w:after="160" w:line="320" w:lineRule="auto"/>
        <w:ind w:firstLine="440"/>
        <w:jc w:val="both"/>
      </w:pPr>
      <w:r>
        <w:rPr>
          <w:rFonts w:ascii="Calibri" w:hAnsi="Calibri" w:eastAsia="宋体"/>
          <w:b w:val="0"/>
          <w:i w:val="0"/>
          <w:color w:val="000000"/>
          <w:sz w:val="22"/>
        </w:rPr>
        <w:t>从运动控制角度看，感觉反馈既可提供接触等关键事件，也可增强对假手状态的估计并支持学习；但其实际价值会受到视觉、声音、电机振动和物体形变等偶然线索影响[5]。因此，第二章应论证“信息缺口存在”，后续实验则要验证附加反馈在具体任务中是否仍有增量价值。</w:t>
      </w:r>
    </w:p>
    <w:p>
      <w:pPr>
        <w:keepNext/>
        <w:spacing w:before="120" w:after="80"/>
      </w:pPr>
      <w:r>
        <w:rPr>
          <w:rFonts w:ascii="Calibri" w:hAnsi="Calibri" w:eastAsia="宋体"/>
          <w:b/>
          <w:i w:val="0"/>
          <w:color w:val="17365D"/>
          <w:sz w:val="20"/>
        </w:rPr>
        <w:t>表1  自然感觉、常见假肢缺口与本文关注的信息变量</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550"/>
        <w:gridCol w:w="2750"/>
        <w:gridCol w:w="2650"/>
        <w:gridCol w:w="2410"/>
      </w:tblGrid>
      <w:tr>
        <w:trPr>
          <w:cantSplit/>
          <w:tblHeader w:val="true"/>
        </w:trPr>
        <w:tc>
          <w:tcPr>
            <w:tcW w:type="dxa" w:w="15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自然感觉维度</w:t>
            </w:r>
          </w:p>
        </w:tc>
        <w:tc>
          <w:tcPr>
            <w:tcW w:type="dxa" w:w="27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缺失后使用者不知道什么</w:t>
            </w:r>
          </w:p>
        </w:tc>
        <w:tc>
          <w:tcPr>
            <w:tcW w:type="dxa" w:w="26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本文对应变量</w:t>
            </w:r>
          </w:p>
        </w:tc>
        <w:tc>
          <w:tcPr>
            <w:tcW w:type="dxa" w:w="241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主要用途</w:t>
            </w:r>
          </w:p>
        </w:tc>
      </w:tr>
      <w:tr>
        <w:tc>
          <w:tcPr>
            <w:tcW w:type="dxa" w:w="1550"/>
            <w:vAlign w:val="center"/>
          </w:tcPr>
          <w:p>
            <w:pPr>
              <w:spacing w:before="0" w:after="40" w:line="259" w:lineRule="auto"/>
              <w:jc w:val="left"/>
            </w:pPr>
            <w:r>
              <w:rPr>
                <w:rFonts w:ascii="Calibri" w:hAnsi="Calibri" w:eastAsia="宋体"/>
                <w:b w:val="0"/>
                <w:i w:val="0"/>
                <w:color w:val="000000"/>
                <w:sz w:val="17"/>
              </w:rPr>
              <w:t>位置觉/运动觉</w:t>
            </w:r>
          </w:p>
        </w:tc>
        <w:tc>
          <w:tcPr>
            <w:tcW w:type="dxa" w:w="2750"/>
            <w:vAlign w:val="center"/>
          </w:tcPr>
          <w:p>
            <w:pPr>
              <w:spacing w:before="0" w:after="40" w:line="259" w:lineRule="auto"/>
              <w:jc w:val="left"/>
            </w:pPr>
            <w:r>
              <w:rPr>
                <w:rFonts w:ascii="Calibri" w:hAnsi="Calibri" w:eastAsia="宋体"/>
                <w:b w:val="0"/>
                <w:i w:val="0"/>
                <w:color w:val="000000"/>
                <w:sz w:val="17"/>
              </w:rPr>
              <w:t>手指当前屈伸程度、假手开度、动作是否到位</w:t>
            </w:r>
          </w:p>
        </w:tc>
        <w:tc>
          <w:tcPr>
            <w:tcW w:type="dxa" w:w="2650"/>
            <w:vAlign w:val="center"/>
          </w:tcPr>
          <w:p>
            <w:pPr>
              <w:spacing w:before="0" w:after="40" w:line="259" w:lineRule="auto"/>
              <w:jc w:val="left"/>
            </w:pPr>
            <w:r>
              <w:rPr>
                <w:rFonts w:ascii="Calibri" w:hAnsi="Calibri" w:eastAsia="宋体"/>
                <w:b w:val="0"/>
                <w:i w:val="0"/>
                <w:color w:val="000000"/>
                <w:sz w:val="17"/>
              </w:rPr>
              <w:t>关节角度及其导出的手部开度/构型</w:t>
            </w:r>
          </w:p>
        </w:tc>
        <w:tc>
          <w:tcPr>
            <w:tcW w:type="dxa" w:w="2410"/>
            <w:vAlign w:val="center"/>
          </w:tcPr>
          <w:p>
            <w:pPr>
              <w:spacing w:before="0" w:after="40" w:line="259" w:lineRule="auto"/>
              <w:jc w:val="left"/>
            </w:pPr>
            <w:r>
              <w:rPr>
                <w:rFonts w:ascii="Calibri" w:hAnsi="Calibri" w:eastAsia="宋体"/>
                <w:b w:val="0"/>
                <w:i w:val="0"/>
                <w:color w:val="000000"/>
                <w:sz w:val="17"/>
              </w:rPr>
              <w:t>接触前预成形、姿态确认、运动终点判断</w:t>
            </w:r>
          </w:p>
        </w:tc>
      </w:tr>
      <w:tr>
        <w:tc>
          <w:tcPr>
            <w:tcW w:type="dxa" w:w="1550"/>
            <w:vAlign w:val="center"/>
          </w:tcPr>
          <w:p>
            <w:pPr>
              <w:spacing w:before="0" w:after="40" w:line="259" w:lineRule="auto"/>
              <w:jc w:val="left"/>
            </w:pPr>
            <w:r>
              <w:rPr>
                <w:rFonts w:ascii="Calibri" w:hAnsi="Calibri" w:eastAsia="宋体"/>
                <w:b w:val="0"/>
                <w:i w:val="0"/>
                <w:color w:val="000000"/>
                <w:sz w:val="17"/>
              </w:rPr>
              <w:t>接触与压力</w:t>
            </w:r>
          </w:p>
        </w:tc>
        <w:tc>
          <w:tcPr>
            <w:tcW w:type="dxa" w:w="2750"/>
            <w:vAlign w:val="center"/>
          </w:tcPr>
          <w:p>
            <w:pPr>
              <w:spacing w:before="0" w:after="40" w:line="259" w:lineRule="auto"/>
              <w:jc w:val="left"/>
            </w:pPr>
            <w:r>
              <w:rPr>
                <w:rFonts w:ascii="Calibri" w:hAnsi="Calibri" w:eastAsia="宋体"/>
                <w:b w:val="0"/>
                <w:i w:val="0"/>
                <w:color w:val="000000"/>
                <w:sz w:val="17"/>
              </w:rPr>
              <w:t>是否接触、抓得多紧、各指受力是否均衡</w:t>
            </w:r>
          </w:p>
        </w:tc>
        <w:tc>
          <w:tcPr>
            <w:tcW w:type="dxa" w:w="2650"/>
            <w:vAlign w:val="center"/>
          </w:tcPr>
          <w:p>
            <w:pPr>
              <w:spacing w:before="0" w:after="40" w:line="259" w:lineRule="auto"/>
              <w:jc w:val="left"/>
            </w:pPr>
            <w:r>
              <w:rPr>
                <w:rFonts w:ascii="Calibri" w:hAnsi="Calibri" w:eastAsia="宋体"/>
                <w:b w:val="0"/>
                <w:i w:val="0"/>
                <w:color w:val="000000"/>
                <w:sz w:val="17"/>
              </w:rPr>
              <w:t>三维力中的法向分量及多指分布</w:t>
            </w:r>
          </w:p>
        </w:tc>
        <w:tc>
          <w:tcPr>
            <w:tcW w:type="dxa" w:w="2410"/>
            <w:vAlign w:val="center"/>
          </w:tcPr>
          <w:p>
            <w:pPr>
              <w:spacing w:before="0" w:after="40" w:line="259" w:lineRule="auto"/>
              <w:jc w:val="left"/>
            </w:pPr>
            <w:r>
              <w:rPr>
                <w:rFonts w:ascii="Calibri" w:hAnsi="Calibri" w:eastAsia="宋体"/>
                <w:b w:val="0"/>
                <w:i w:val="0"/>
                <w:color w:val="000000"/>
                <w:sz w:val="17"/>
              </w:rPr>
              <w:t>接触确认、抓握力调节、易碎物保护</w:t>
            </w:r>
          </w:p>
        </w:tc>
      </w:tr>
      <w:tr>
        <w:tc>
          <w:tcPr>
            <w:tcW w:type="dxa" w:w="1550"/>
            <w:vAlign w:val="center"/>
          </w:tcPr>
          <w:p>
            <w:pPr>
              <w:spacing w:before="0" w:after="40" w:line="259" w:lineRule="auto"/>
              <w:jc w:val="left"/>
            </w:pPr>
            <w:r>
              <w:rPr>
                <w:rFonts w:ascii="Calibri" w:hAnsi="Calibri" w:eastAsia="宋体"/>
                <w:b w:val="0"/>
                <w:i w:val="0"/>
                <w:color w:val="000000"/>
                <w:sz w:val="17"/>
              </w:rPr>
              <w:t>剪切/负载与滑移</w:t>
            </w:r>
          </w:p>
        </w:tc>
        <w:tc>
          <w:tcPr>
            <w:tcW w:type="dxa" w:w="2750"/>
            <w:vAlign w:val="center"/>
          </w:tcPr>
          <w:p>
            <w:pPr>
              <w:spacing w:before="0" w:after="40" w:line="259" w:lineRule="auto"/>
              <w:jc w:val="left"/>
            </w:pPr>
            <w:r>
              <w:rPr>
                <w:rFonts w:ascii="Calibri" w:hAnsi="Calibri" w:eastAsia="宋体"/>
                <w:b w:val="0"/>
                <w:i w:val="0"/>
                <w:color w:val="000000"/>
                <w:sz w:val="17"/>
              </w:rPr>
              <w:t>物体受力方向、载荷变化、是否趋于滑落</w:t>
            </w:r>
          </w:p>
        </w:tc>
        <w:tc>
          <w:tcPr>
            <w:tcW w:type="dxa" w:w="2650"/>
            <w:vAlign w:val="center"/>
          </w:tcPr>
          <w:p>
            <w:pPr>
              <w:spacing w:before="0" w:after="40" w:line="259" w:lineRule="auto"/>
              <w:jc w:val="left"/>
            </w:pPr>
            <w:r>
              <w:rPr>
                <w:rFonts w:ascii="Calibri" w:hAnsi="Calibri" w:eastAsia="宋体"/>
                <w:b w:val="0"/>
                <w:i w:val="0"/>
                <w:color w:val="000000"/>
                <w:sz w:val="17"/>
              </w:rPr>
              <w:t>三维力中的两个切向分量及其动态变化</w:t>
            </w:r>
          </w:p>
        </w:tc>
        <w:tc>
          <w:tcPr>
            <w:tcW w:type="dxa" w:w="2410"/>
            <w:vAlign w:val="center"/>
          </w:tcPr>
          <w:p>
            <w:pPr>
              <w:spacing w:before="0" w:after="40" w:line="259" w:lineRule="auto"/>
              <w:jc w:val="left"/>
            </w:pPr>
            <w:r>
              <w:rPr>
                <w:rFonts w:ascii="Calibri" w:hAnsi="Calibri" w:eastAsia="宋体"/>
                <w:b w:val="0"/>
                <w:i w:val="0"/>
                <w:color w:val="000000"/>
                <w:sz w:val="17"/>
              </w:rPr>
              <w:t>滑移预测、方向判断、抗扰调整</w:t>
            </w:r>
          </w:p>
        </w:tc>
      </w:tr>
      <w:tr>
        <w:tc>
          <w:tcPr>
            <w:tcW w:type="dxa" w:w="1550"/>
            <w:vAlign w:val="center"/>
          </w:tcPr>
          <w:p>
            <w:pPr>
              <w:spacing w:before="0" w:after="40" w:line="259" w:lineRule="auto"/>
              <w:jc w:val="left"/>
            </w:pPr>
            <w:r>
              <w:rPr>
                <w:rFonts w:ascii="Calibri" w:hAnsi="Calibri" w:eastAsia="宋体"/>
                <w:b w:val="0"/>
                <w:i w:val="0"/>
                <w:color w:val="000000"/>
                <w:sz w:val="17"/>
              </w:rPr>
              <w:t>温冷觉/热伤害预警</w:t>
            </w:r>
          </w:p>
        </w:tc>
        <w:tc>
          <w:tcPr>
            <w:tcW w:type="dxa" w:w="2750"/>
            <w:vAlign w:val="center"/>
          </w:tcPr>
          <w:p>
            <w:pPr>
              <w:spacing w:before="0" w:after="40" w:line="259" w:lineRule="auto"/>
              <w:jc w:val="left"/>
            </w:pPr>
            <w:r>
              <w:rPr>
                <w:rFonts w:ascii="Calibri" w:hAnsi="Calibri" w:eastAsia="宋体"/>
                <w:b w:val="0"/>
                <w:i w:val="0"/>
                <w:color w:val="000000"/>
                <w:sz w:val="17"/>
              </w:rPr>
              <w:t>外观相同物体的冷热状态、持续接触风险</w:t>
            </w:r>
          </w:p>
        </w:tc>
        <w:tc>
          <w:tcPr>
            <w:tcW w:type="dxa" w:w="2650"/>
            <w:vAlign w:val="center"/>
          </w:tcPr>
          <w:p>
            <w:pPr>
              <w:spacing w:before="0" w:after="40" w:line="259" w:lineRule="auto"/>
              <w:jc w:val="left"/>
            </w:pPr>
            <w:r>
              <w:rPr>
                <w:rFonts w:ascii="Calibri" w:hAnsi="Calibri" w:eastAsia="宋体"/>
                <w:b w:val="0"/>
                <w:i w:val="0"/>
                <w:color w:val="000000"/>
                <w:sz w:val="17"/>
              </w:rPr>
              <w:t>指尖接触温度及温度变化</w:t>
            </w:r>
          </w:p>
        </w:tc>
        <w:tc>
          <w:tcPr>
            <w:tcW w:type="dxa" w:w="2410"/>
            <w:vAlign w:val="center"/>
          </w:tcPr>
          <w:p>
            <w:pPr>
              <w:spacing w:before="0" w:after="40" w:line="259" w:lineRule="auto"/>
              <w:jc w:val="left"/>
            </w:pPr>
            <w:r>
              <w:rPr>
                <w:rFonts w:ascii="Calibri" w:hAnsi="Calibri" w:eastAsia="宋体"/>
                <w:b w:val="0"/>
                <w:i w:val="0"/>
                <w:color w:val="000000"/>
                <w:sz w:val="17"/>
              </w:rPr>
              <w:t>温度辨识、热风险报警、假手自保护</w:t>
            </w:r>
          </w:p>
        </w:tc>
      </w:tr>
    </w:tbl>
    <w:p>
      <w:pPr>
        <w:spacing w:before="80" w:after="120"/>
      </w:pPr>
      <w:r>
        <w:rPr>
          <w:rFonts w:ascii="Calibri" w:hAnsi="Calibri" w:eastAsia="宋体"/>
          <w:b w:val="0"/>
          <w:i/>
          <w:color w:val="667085"/>
          <w:sz w:val="17"/>
        </w:rPr>
        <w:t>注：表中“对应变量”是传感层信息；是否形成使用者感觉，取决于后续编码和反馈界面。</w:t>
      </w:r>
    </w:p>
    <w:p>
      <w:pPr>
        <w:pStyle w:val="Heading2"/>
        <w:keepNext/>
      </w:pPr>
      <w:r>
        <w:rPr>
          <w:rFonts w:ascii="Calibri" w:hAnsi="Calibri" w:eastAsia="黑体"/>
          <w:b/>
          <w:i w:val="0"/>
          <w:color w:val="2E5F8A"/>
          <w:sz w:val="26"/>
        </w:rPr>
        <w:t>2.2 缺口的层次：没有、未公开、仅内部使用、已反馈</w:t>
      </w:r>
    </w:p>
    <w:p>
      <w:pPr>
        <w:spacing w:before="0" w:after="160" w:line="320" w:lineRule="auto"/>
        <w:ind w:firstLine="440"/>
        <w:jc w:val="both"/>
      </w:pPr>
      <w:r>
        <w:rPr>
          <w:rFonts w:ascii="Calibri" w:hAnsi="Calibri" w:eastAsia="宋体"/>
          <w:b w:val="0"/>
          <w:i w:val="0"/>
          <w:color w:val="000000"/>
          <w:sz w:val="22"/>
        </w:rPr>
        <w:t>分析假肢功能时应避免把“装有传感器”与“用户得到反馈”混为一谈。产品可能具有编码器或电流检测，用于电机换向、堵转保护、位置控制或故障诊断，但这些信息未必反馈给使用者；也可能通过灯光、应用程序或蜂鸣器提示模式和电量，却不提供物体接触状态。对本研究而言，真正相关的是信息是否覆盖角度、法向力、切向力和温度，以及是否能以低视觉占用方式被使用者利用。</w:t>
      </w:r>
    </w:p>
    <w:p>
      <w:pPr>
        <w:pStyle w:val="Heading1"/>
        <w:keepNext/>
      </w:pPr>
      <w:r>
        <w:rPr>
          <w:rFonts w:ascii="Calibri" w:hAnsi="Calibri" w:eastAsia="黑体"/>
          <w:b/>
          <w:i w:val="0"/>
          <w:color w:val="2E5F8A"/>
          <w:sz w:val="32"/>
        </w:rPr>
        <w:t>3 感觉缺失造成的操作问题</w:t>
      </w:r>
    </w:p>
    <w:p>
      <w:pPr>
        <w:pStyle w:val="Heading2"/>
        <w:keepNext/>
      </w:pPr>
      <w:r>
        <w:rPr>
          <w:rFonts w:ascii="Calibri" w:hAnsi="Calibri" w:eastAsia="黑体"/>
          <w:b/>
          <w:i w:val="0"/>
          <w:color w:val="2E5F8A"/>
          <w:sz w:val="26"/>
        </w:rPr>
        <w:t>3.1 视觉依赖与注意资源占用</w:t>
      </w:r>
    </w:p>
    <w:p>
      <w:pPr>
        <w:spacing w:before="0" w:after="160" w:line="320" w:lineRule="auto"/>
        <w:ind w:firstLine="440"/>
        <w:jc w:val="both"/>
      </w:pPr>
      <w:r>
        <w:rPr>
          <w:rFonts w:ascii="Calibri" w:hAnsi="Calibri" w:eastAsia="宋体"/>
          <w:b w:val="0"/>
          <w:i w:val="0"/>
          <w:color w:val="000000"/>
          <w:sz w:val="22"/>
        </w:rPr>
        <w:t>缺少本体和接触信息后，使用者通常通过观察假手、物体形变、接触位置和电机动作补偿。Sobuh等发现，正常受试者使用肌电假肢模拟器完成到达和抓取时，约90%的视觉注意分配给假手或物体抓取区域；训练并未明显改变这一模式，并且经验性截肢假肢使用者表现出相似趋势[6]。这表明视觉依赖不完全是初学者现象，而可能反映感觉缺失和控制不确定性。</w:t>
      </w:r>
    </w:p>
    <w:p>
      <w:pPr>
        <w:spacing w:before="0" w:after="160" w:line="320" w:lineRule="auto"/>
        <w:ind w:firstLine="440"/>
        <w:jc w:val="both"/>
      </w:pPr>
      <w:r>
        <w:rPr>
          <w:rFonts w:ascii="Calibri" w:hAnsi="Calibri" w:eastAsia="宋体"/>
          <w:b w:val="0"/>
          <w:i w:val="0"/>
          <w:color w:val="000000"/>
          <w:sz w:val="22"/>
        </w:rPr>
        <w:t>视觉补偿的问题不只是“看得多”。当任务需要同时观察环境、另一只手或下一个操作目标时，持续监假手会延迟视线转移，破坏预测性眼—手协调，并增加认知负担。Raveh等在12名经桡截肢肌电假肢使用者的双任务实验中发现，振动反馈使抓握任务总时间由107.8 s降至93.2 s，但眼动和次要任务指标未显著改变[7]。这一结果一方面支持反馈可能改善效率，另一方面说明“减少视觉依赖”必须以眼动指标直接检验，不能仅由完成时间推断。</w:t>
      </w:r>
    </w:p>
    <w:p>
      <w:pPr>
        <w:pStyle w:val="Heading2"/>
        <w:keepNext/>
      </w:pPr>
      <w:r>
        <w:rPr>
          <w:rFonts w:ascii="Calibri" w:hAnsi="Calibri" w:eastAsia="黑体"/>
          <w:b/>
          <w:i w:val="0"/>
          <w:color w:val="2E5F8A"/>
          <w:sz w:val="26"/>
        </w:rPr>
        <w:t>3.2 接触前：假手姿态与手型预成形不确定</w:t>
      </w:r>
    </w:p>
    <w:p>
      <w:pPr>
        <w:spacing w:before="0" w:after="160" w:line="320" w:lineRule="auto"/>
        <w:ind w:firstLine="440"/>
        <w:jc w:val="both"/>
      </w:pPr>
      <w:r>
        <w:rPr>
          <w:rFonts w:ascii="Calibri" w:hAnsi="Calibri" w:eastAsia="宋体"/>
          <w:b w:val="0"/>
          <w:i w:val="0"/>
          <w:color w:val="000000"/>
          <w:sz w:val="22"/>
        </w:rPr>
        <w:t>在物体接触之前，抓握能否顺利进行取决于假手开度、抓型和拇指位置是否与目标物体匹配。缺少关节位置或运动反馈时，使用者只能依靠观看假手或根据肌电命令推测结果；如果手指速度、控制延迟、机械耦合或外界阻挡改变实际姿态，这种推测会失准。Witteveen等在10名上肢缺失受试者的交叉实验中发现，振动编码的手部开度和抓握力反馈均提高了正确设置开度和力等级的比例，但视觉反馈总体仍表现更好[8]。这说明人工反馈具有作用，也提示后续设计应把“替代视觉”与“补充视觉”区分开。</w:t>
      </w:r>
    </w:p>
    <w:p>
      <w:pPr>
        <w:spacing w:before="0" w:after="160" w:line="320" w:lineRule="auto"/>
        <w:ind w:firstLine="440"/>
        <w:jc w:val="both"/>
      </w:pPr>
      <w:r>
        <w:rPr>
          <w:rFonts w:ascii="Calibri" w:hAnsi="Calibri" w:eastAsia="宋体"/>
          <w:b w:val="0"/>
          <w:i w:val="0"/>
          <w:color w:val="000000"/>
          <w:sz w:val="22"/>
        </w:rPr>
        <w:t>关于本体反馈的综述认为，编码器角度、压力或电机电流可形成假手状态信息，再经振动、电刺激、皮肤牵拉等方式传到残肢皮肤[9]。Marasco等利用靶向肌肉振动诱发运动幻觉，使截肢受试者获得与假手动作相关的运动觉并改善控制[10]；Marinelli等进一步以振动阵列同时编码腕旋转和手部开度，在10名正常受试者和4名经桡截肢者中得到可用的闭环定位性能[11]。因此，角度需求的最佳论证对象不是每个关节的原始数值，而是由角度导出的“手部开度、抓型状态、运动方向和终点”等任务变量。</w:t>
      </w:r>
    </w:p>
    <w:p>
      <w:pPr>
        <w:pStyle w:val="Heading2"/>
        <w:keepNext/>
      </w:pPr>
      <w:r>
        <w:rPr>
          <w:rFonts w:ascii="Calibri" w:hAnsi="Calibri" w:eastAsia="黑体"/>
          <w:b/>
          <w:i w:val="0"/>
          <w:color w:val="2E5F8A"/>
          <w:sz w:val="26"/>
        </w:rPr>
        <w:t>3.3 接触后：抓握力、受力方向和滑移不确定</w:t>
      </w:r>
    </w:p>
    <w:p>
      <w:pPr>
        <w:spacing w:before="0" w:after="160" w:line="320" w:lineRule="auto"/>
        <w:ind w:firstLine="440"/>
        <w:jc w:val="both"/>
      </w:pPr>
      <w:r>
        <w:rPr>
          <w:rFonts w:ascii="Calibri" w:hAnsi="Calibri" w:eastAsia="宋体"/>
          <w:b w:val="0"/>
          <w:i w:val="0"/>
          <w:color w:val="000000"/>
          <w:sz w:val="22"/>
        </w:rPr>
        <w:t>接触发生后，法向力反映夹持强度，切向力反映载荷和相对滑动趋势。Markovic等发现，在常规抓握中，视觉、声音、电机振动和物体形变等偶然反馈有时已足以支持力缩放[12]；这意味着附加力反馈应证明其在困难条件下的增量价值。仅测法向压力可以回答“抓得多紧”，却难以区分重力载荷方向、外界扰动方向和切向摩擦裕度。滑移控制综述指出，法向与切向力的变化是检测滑移的重要路线，而人的精密抓握通过根据负载快速调节握力来避免物体滑落[13]。因此，指尖三维力的工程价值在于同时保留一个法向分量和两个切向分量，为接触确认、力平衡、载荷方向估计和滑移预测提供统一数据源。</w:t>
      </w:r>
    </w:p>
    <w:p>
      <w:pPr>
        <w:spacing w:before="0" w:after="160" w:line="320" w:lineRule="auto"/>
        <w:ind w:firstLine="440"/>
        <w:jc w:val="both"/>
      </w:pPr>
      <w:r>
        <w:rPr>
          <w:rFonts w:ascii="Calibri" w:hAnsi="Calibri" w:eastAsia="宋体"/>
          <w:b w:val="0"/>
          <w:i w:val="0"/>
          <w:color w:val="000000"/>
          <w:sz w:val="22"/>
        </w:rPr>
        <w:t>在闭环控制层面，Osborn等利用指尖触觉传感器检测接触、释放和滑移，并将信息用于假手局部自动控制；在正常人与截肢者实验中，与无反馈相比，物体破损或滑落数量平均减少超过50%，多数试验的完成时间至少缩短10%[14]。因此，三维力反馈应优先在偶然线索受限、物体脆弱、载荷方向变化或发生外扰的任务中验证，而不是预设其对所有普通抓握均有增益。</w:t>
      </w:r>
    </w:p>
    <w:p>
      <w:pPr>
        <w:spacing w:before="0" w:after="160" w:line="320" w:lineRule="auto"/>
        <w:ind w:firstLine="440"/>
        <w:jc w:val="both"/>
      </w:pPr>
      <w:r>
        <w:rPr>
          <w:rFonts w:ascii="Calibri" w:hAnsi="Calibri" w:eastAsia="宋体"/>
          <w:b w:val="0"/>
          <w:i w:val="0"/>
          <w:color w:val="000000"/>
          <w:sz w:val="22"/>
        </w:rPr>
        <w:t>现有非侵入式研究还说明，反馈界面的空间分布、机械柔顺性和编码组合会影响力与开度控制效果[15]；将抓握力与开度同时编码后，受试者能够在无视觉对象辨别任务中利用两类信息，且表现可随训练提高[16]。这进一步支持把原始三维力转换为接触、力等级、方向与滑移事件，而不是把三个连续数值直接呈现给使用者。</w:t>
      </w:r>
    </w:p>
    <w:p>
      <w:pPr>
        <w:pStyle w:val="Heading2"/>
        <w:keepNext/>
      </w:pPr>
      <w:r>
        <w:rPr>
          <w:rFonts w:ascii="Calibri" w:hAnsi="Calibri" w:eastAsia="黑体"/>
          <w:b/>
          <w:i w:val="0"/>
          <w:color w:val="2E5F8A"/>
          <w:sz w:val="26"/>
        </w:rPr>
        <w:t>3.4 温度不可视、接触安全与社会触摸</w:t>
      </w:r>
    </w:p>
    <w:p>
      <w:pPr>
        <w:spacing w:before="0" w:after="160" w:line="320" w:lineRule="auto"/>
        <w:ind w:firstLine="440"/>
        <w:jc w:val="both"/>
      </w:pPr>
      <w:r>
        <w:rPr>
          <w:rFonts w:ascii="Calibri" w:hAnsi="Calibri" w:eastAsia="宋体"/>
          <w:b w:val="0"/>
          <w:i w:val="0"/>
          <w:color w:val="000000"/>
          <w:sz w:val="22"/>
        </w:rPr>
        <w:t>温度与角度、力觉的逻辑不同。它通常不是每次抓握成功所必需，却能提供视觉无法从外观稳定推断的对象状态，尤其适用于冷热容器、烹饪器具、冷藏物品、热水和人与人接触等场景。Iberite等证明，非侵入式可穿戴装置可在部分上肢截肢者残肢上诱发定位到幻肢手的自然温冷觉，并支持热刺激检测和辨别[17]。Muheim等将温度传感器与热刺激器集成到商用假手，在一名经桡截肢者的长期多次实验中实现了三种温度和材料辨别及冷热排序[18]。这些研究说明温度信息可以被利用，但样本规模和转化成熟度仍不足以支持广泛临床结论。</w:t>
      </w:r>
    </w:p>
    <w:p>
      <w:pPr>
        <w:spacing w:before="0" w:after="160" w:line="320" w:lineRule="auto"/>
        <w:ind w:firstLine="440"/>
        <w:jc w:val="both"/>
      </w:pPr>
      <w:r>
        <w:rPr>
          <w:rFonts w:ascii="Calibri" w:hAnsi="Calibri" w:eastAsia="宋体"/>
          <w:b w:val="0"/>
          <w:i w:val="0"/>
          <w:color w:val="000000"/>
          <w:sz w:val="22"/>
        </w:rPr>
        <w:t>温度还具有双重安全价值：一是向人报警，二是保护假手自身。Xie等在4名正常受试者和2名截肢者中将力与热伤害预警结合，并设计自动张开的撤回反射；温度预警识别成功率约94.3%，强化控制模式下的中位反应时间由1.93 s缩短至1.39 s[19]。这为“温度检测+用户告警+设备自保护”的分层需求提供了直接依据，但危险阈值和临床安全边界仍应由后续伦理与实验方案确定。</w:t>
      </w:r>
    </w:p>
    <w:p>
      <w:pPr>
        <w:keepNext/>
        <w:spacing w:before="120" w:after="80"/>
      </w:pPr>
      <w:r>
        <w:rPr>
          <w:rFonts w:ascii="Calibri" w:hAnsi="Calibri" w:eastAsia="宋体"/>
          <w:b/>
          <w:i w:val="0"/>
          <w:color w:val="17365D"/>
          <w:sz w:val="20"/>
        </w:rPr>
        <w:t>表2  操作问题与三类信息的对应关系</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800"/>
        <w:gridCol w:w="2550"/>
        <w:gridCol w:w="2200"/>
        <w:gridCol w:w="2810"/>
      </w:tblGrid>
      <w:tr>
        <w:trPr>
          <w:cantSplit/>
          <w:tblHeader w:val="true"/>
        </w:trPr>
        <w:tc>
          <w:tcPr>
            <w:tcW w:type="dxa" w:w="18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任务阶段/问题</w:t>
            </w:r>
          </w:p>
        </w:tc>
        <w:tc>
          <w:tcPr>
            <w:tcW w:type="dxa" w:w="25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主要缺失信息</w:t>
            </w:r>
          </w:p>
        </w:tc>
        <w:tc>
          <w:tcPr>
            <w:tcW w:type="dxa" w:w="22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关键传感变量</w:t>
            </w:r>
          </w:p>
        </w:tc>
        <w:tc>
          <w:tcPr>
            <w:tcW w:type="dxa" w:w="281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预期但待验证的作用</w:t>
            </w:r>
          </w:p>
        </w:tc>
      </w:tr>
      <w:tr>
        <w:tc>
          <w:tcPr>
            <w:tcW w:type="dxa" w:w="1800"/>
            <w:vAlign w:val="center"/>
          </w:tcPr>
          <w:p>
            <w:pPr>
              <w:spacing w:before="0" w:after="40" w:line="259" w:lineRule="auto"/>
              <w:jc w:val="left"/>
            </w:pPr>
            <w:r>
              <w:rPr>
                <w:rFonts w:ascii="Calibri" w:hAnsi="Calibri" w:eastAsia="宋体"/>
                <w:b w:val="0"/>
                <w:i w:val="0"/>
                <w:color w:val="000000"/>
                <w:sz w:val="17"/>
              </w:rPr>
              <w:t>接触前手型预成形</w:t>
            </w:r>
          </w:p>
        </w:tc>
        <w:tc>
          <w:tcPr>
            <w:tcW w:type="dxa" w:w="2550"/>
            <w:vAlign w:val="center"/>
          </w:tcPr>
          <w:p>
            <w:pPr>
              <w:spacing w:before="0" w:after="40" w:line="259" w:lineRule="auto"/>
              <w:jc w:val="left"/>
            </w:pPr>
            <w:r>
              <w:rPr>
                <w:rFonts w:ascii="Calibri" w:hAnsi="Calibri" w:eastAsia="宋体"/>
                <w:b w:val="0"/>
                <w:i w:val="0"/>
                <w:color w:val="000000"/>
                <w:sz w:val="17"/>
              </w:rPr>
              <w:t>不知道张开程度、抓型及运动是否到位</w:t>
            </w:r>
          </w:p>
        </w:tc>
        <w:tc>
          <w:tcPr>
            <w:tcW w:type="dxa" w:w="2200"/>
            <w:vAlign w:val="center"/>
          </w:tcPr>
          <w:p>
            <w:pPr>
              <w:spacing w:before="0" w:after="40" w:line="259" w:lineRule="auto"/>
              <w:jc w:val="left"/>
            </w:pPr>
            <w:r>
              <w:rPr>
                <w:rFonts w:ascii="Calibri" w:hAnsi="Calibri" w:eastAsia="宋体"/>
                <w:b w:val="0"/>
                <w:i w:val="0"/>
                <w:color w:val="000000"/>
                <w:sz w:val="17"/>
              </w:rPr>
              <w:t>关节角度→手部开度/构型</w:t>
            </w:r>
          </w:p>
        </w:tc>
        <w:tc>
          <w:tcPr>
            <w:tcW w:type="dxa" w:w="2810"/>
            <w:vAlign w:val="center"/>
          </w:tcPr>
          <w:p>
            <w:pPr>
              <w:spacing w:before="0" w:after="40" w:line="259" w:lineRule="auto"/>
              <w:jc w:val="left"/>
            </w:pPr>
            <w:r>
              <w:rPr>
                <w:rFonts w:ascii="Calibri" w:hAnsi="Calibri" w:eastAsia="宋体"/>
                <w:b w:val="0"/>
                <w:i w:val="0"/>
                <w:color w:val="000000"/>
                <w:sz w:val="17"/>
              </w:rPr>
              <w:t>减少姿态确认和二次调整，提高首次接触匹配度</w:t>
            </w:r>
          </w:p>
        </w:tc>
      </w:tr>
      <w:tr>
        <w:tc>
          <w:tcPr>
            <w:tcW w:type="dxa" w:w="1800"/>
            <w:vAlign w:val="center"/>
          </w:tcPr>
          <w:p>
            <w:pPr>
              <w:spacing w:before="0" w:after="40" w:line="259" w:lineRule="auto"/>
              <w:jc w:val="left"/>
            </w:pPr>
            <w:r>
              <w:rPr>
                <w:rFonts w:ascii="Calibri" w:hAnsi="Calibri" w:eastAsia="宋体"/>
                <w:b w:val="0"/>
                <w:i w:val="0"/>
                <w:color w:val="000000"/>
                <w:sz w:val="17"/>
              </w:rPr>
              <w:t>接触建立</w:t>
            </w:r>
          </w:p>
        </w:tc>
        <w:tc>
          <w:tcPr>
            <w:tcW w:type="dxa" w:w="2550"/>
            <w:vAlign w:val="center"/>
          </w:tcPr>
          <w:p>
            <w:pPr>
              <w:spacing w:before="0" w:after="40" w:line="259" w:lineRule="auto"/>
              <w:jc w:val="left"/>
            </w:pPr>
            <w:r>
              <w:rPr>
                <w:rFonts w:ascii="Calibri" w:hAnsi="Calibri" w:eastAsia="宋体"/>
                <w:b w:val="0"/>
                <w:i w:val="0"/>
                <w:color w:val="000000"/>
                <w:sz w:val="17"/>
              </w:rPr>
              <w:t>不知道是否接触及接触发生在哪根手指</w:t>
            </w:r>
          </w:p>
        </w:tc>
        <w:tc>
          <w:tcPr>
            <w:tcW w:type="dxa" w:w="2200"/>
            <w:vAlign w:val="center"/>
          </w:tcPr>
          <w:p>
            <w:pPr>
              <w:spacing w:before="0" w:after="40" w:line="259" w:lineRule="auto"/>
              <w:jc w:val="left"/>
            </w:pPr>
            <w:r>
              <w:rPr>
                <w:rFonts w:ascii="Calibri" w:hAnsi="Calibri" w:eastAsia="宋体"/>
                <w:b w:val="0"/>
                <w:i w:val="0"/>
                <w:color w:val="000000"/>
                <w:sz w:val="17"/>
              </w:rPr>
              <w:t>各指法向力起始事件</w:t>
            </w:r>
          </w:p>
        </w:tc>
        <w:tc>
          <w:tcPr>
            <w:tcW w:type="dxa" w:w="2810"/>
            <w:vAlign w:val="center"/>
          </w:tcPr>
          <w:p>
            <w:pPr>
              <w:spacing w:before="0" w:after="40" w:line="259" w:lineRule="auto"/>
              <w:jc w:val="left"/>
            </w:pPr>
            <w:r>
              <w:rPr>
                <w:rFonts w:ascii="Calibri" w:hAnsi="Calibri" w:eastAsia="宋体"/>
                <w:b w:val="0"/>
                <w:i w:val="0"/>
                <w:color w:val="000000"/>
                <w:sz w:val="17"/>
              </w:rPr>
              <w:t>缩短接触确认时间，避免持续无效闭合</w:t>
            </w:r>
          </w:p>
        </w:tc>
      </w:tr>
      <w:tr>
        <w:tc>
          <w:tcPr>
            <w:tcW w:type="dxa" w:w="1800"/>
            <w:vAlign w:val="center"/>
          </w:tcPr>
          <w:p>
            <w:pPr>
              <w:spacing w:before="0" w:after="40" w:line="259" w:lineRule="auto"/>
              <w:jc w:val="left"/>
            </w:pPr>
            <w:r>
              <w:rPr>
                <w:rFonts w:ascii="Calibri" w:hAnsi="Calibri" w:eastAsia="宋体"/>
                <w:b w:val="0"/>
                <w:i w:val="0"/>
                <w:color w:val="000000"/>
                <w:sz w:val="17"/>
              </w:rPr>
              <w:t>稳定持握</w:t>
            </w:r>
          </w:p>
        </w:tc>
        <w:tc>
          <w:tcPr>
            <w:tcW w:type="dxa" w:w="2550"/>
            <w:vAlign w:val="center"/>
          </w:tcPr>
          <w:p>
            <w:pPr>
              <w:spacing w:before="0" w:after="40" w:line="259" w:lineRule="auto"/>
              <w:jc w:val="left"/>
            </w:pPr>
            <w:r>
              <w:rPr>
                <w:rFonts w:ascii="Calibri" w:hAnsi="Calibri" w:eastAsia="宋体"/>
                <w:b w:val="0"/>
                <w:i w:val="0"/>
                <w:color w:val="000000"/>
                <w:sz w:val="17"/>
              </w:rPr>
              <w:t>不知道抓力是否过小或过大</w:t>
            </w:r>
          </w:p>
        </w:tc>
        <w:tc>
          <w:tcPr>
            <w:tcW w:type="dxa" w:w="2200"/>
            <w:vAlign w:val="center"/>
          </w:tcPr>
          <w:p>
            <w:pPr>
              <w:spacing w:before="0" w:after="40" w:line="259" w:lineRule="auto"/>
              <w:jc w:val="left"/>
            </w:pPr>
            <w:r>
              <w:rPr>
                <w:rFonts w:ascii="Calibri" w:hAnsi="Calibri" w:eastAsia="宋体"/>
                <w:b w:val="0"/>
                <w:i w:val="0"/>
                <w:color w:val="000000"/>
                <w:sz w:val="17"/>
              </w:rPr>
              <w:t>法向力及多指分布</w:t>
            </w:r>
          </w:p>
        </w:tc>
        <w:tc>
          <w:tcPr>
            <w:tcW w:type="dxa" w:w="2810"/>
            <w:vAlign w:val="center"/>
          </w:tcPr>
          <w:p>
            <w:pPr>
              <w:spacing w:before="0" w:after="40" w:line="259" w:lineRule="auto"/>
              <w:jc w:val="left"/>
            </w:pPr>
            <w:r>
              <w:rPr>
                <w:rFonts w:ascii="Calibri" w:hAnsi="Calibri" w:eastAsia="宋体"/>
                <w:b w:val="0"/>
                <w:i w:val="0"/>
                <w:color w:val="000000"/>
                <w:sz w:val="17"/>
              </w:rPr>
              <w:t>降低滑落与易碎物损坏风险</w:t>
            </w:r>
          </w:p>
        </w:tc>
      </w:tr>
      <w:tr>
        <w:tc>
          <w:tcPr>
            <w:tcW w:type="dxa" w:w="1800"/>
            <w:vAlign w:val="center"/>
          </w:tcPr>
          <w:p>
            <w:pPr>
              <w:spacing w:before="0" w:after="40" w:line="259" w:lineRule="auto"/>
              <w:jc w:val="left"/>
            </w:pPr>
            <w:r>
              <w:rPr>
                <w:rFonts w:ascii="Calibri" w:hAnsi="Calibri" w:eastAsia="宋体"/>
                <w:b w:val="0"/>
                <w:i w:val="0"/>
                <w:color w:val="000000"/>
                <w:sz w:val="17"/>
              </w:rPr>
              <w:t>搬运/外扰</w:t>
            </w:r>
          </w:p>
        </w:tc>
        <w:tc>
          <w:tcPr>
            <w:tcW w:type="dxa" w:w="2550"/>
            <w:vAlign w:val="center"/>
          </w:tcPr>
          <w:p>
            <w:pPr>
              <w:spacing w:before="0" w:after="40" w:line="259" w:lineRule="auto"/>
              <w:jc w:val="left"/>
            </w:pPr>
            <w:r>
              <w:rPr>
                <w:rFonts w:ascii="Calibri" w:hAnsi="Calibri" w:eastAsia="宋体"/>
                <w:b w:val="0"/>
                <w:i w:val="0"/>
                <w:color w:val="000000"/>
                <w:sz w:val="17"/>
              </w:rPr>
              <w:t>不知道载荷方向和切向摩擦需求</w:t>
            </w:r>
          </w:p>
        </w:tc>
        <w:tc>
          <w:tcPr>
            <w:tcW w:type="dxa" w:w="2200"/>
            <w:vAlign w:val="center"/>
          </w:tcPr>
          <w:p>
            <w:pPr>
              <w:spacing w:before="0" w:after="40" w:line="259" w:lineRule="auto"/>
              <w:jc w:val="left"/>
            </w:pPr>
            <w:r>
              <w:rPr>
                <w:rFonts w:ascii="Calibri" w:hAnsi="Calibri" w:eastAsia="宋体"/>
                <w:b w:val="0"/>
                <w:i w:val="0"/>
                <w:color w:val="000000"/>
                <w:sz w:val="17"/>
              </w:rPr>
              <w:t>两个切向力分量及变化率</w:t>
            </w:r>
          </w:p>
        </w:tc>
        <w:tc>
          <w:tcPr>
            <w:tcW w:type="dxa" w:w="2810"/>
            <w:vAlign w:val="center"/>
          </w:tcPr>
          <w:p>
            <w:pPr>
              <w:spacing w:before="0" w:after="40" w:line="259" w:lineRule="auto"/>
              <w:jc w:val="left"/>
            </w:pPr>
            <w:r>
              <w:rPr>
                <w:rFonts w:ascii="Calibri" w:hAnsi="Calibri" w:eastAsia="宋体"/>
                <w:b w:val="0"/>
                <w:i w:val="0"/>
                <w:color w:val="000000"/>
                <w:sz w:val="17"/>
              </w:rPr>
              <w:t>识别外扰方向，提前调整握力或姿态</w:t>
            </w:r>
          </w:p>
        </w:tc>
      </w:tr>
      <w:tr>
        <w:tc>
          <w:tcPr>
            <w:tcW w:type="dxa" w:w="1800"/>
            <w:vAlign w:val="center"/>
          </w:tcPr>
          <w:p>
            <w:pPr>
              <w:spacing w:before="0" w:after="40" w:line="259" w:lineRule="auto"/>
              <w:jc w:val="left"/>
            </w:pPr>
            <w:r>
              <w:rPr>
                <w:rFonts w:ascii="Calibri" w:hAnsi="Calibri" w:eastAsia="宋体"/>
                <w:b w:val="0"/>
                <w:i w:val="0"/>
                <w:color w:val="000000"/>
                <w:sz w:val="17"/>
              </w:rPr>
              <w:t>冷热对象操作</w:t>
            </w:r>
          </w:p>
        </w:tc>
        <w:tc>
          <w:tcPr>
            <w:tcW w:type="dxa" w:w="2550"/>
            <w:vAlign w:val="center"/>
          </w:tcPr>
          <w:p>
            <w:pPr>
              <w:spacing w:before="0" w:after="40" w:line="259" w:lineRule="auto"/>
              <w:jc w:val="left"/>
            </w:pPr>
            <w:r>
              <w:rPr>
                <w:rFonts w:ascii="Calibri" w:hAnsi="Calibri" w:eastAsia="宋体"/>
                <w:b w:val="0"/>
                <w:i w:val="0"/>
                <w:color w:val="000000"/>
                <w:sz w:val="17"/>
              </w:rPr>
              <w:t>外观不能可靠反映冷热和危险程度</w:t>
            </w:r>
          </w:p>
        </w:tc>
        <w:tc>
          <w:tcPr>
            <w:tcW w:type="dxa" w:w="2200"/>
            <w:vAlign w:val="center"/>
          </w:tcPr>
          <w:p>
            <w:pPr>
              <w:spacing w:before="0" w:after="40" w:line="259" w:lineRule="auto"/>
              <w:jc w:val="left"/>
            </w:pPr>
            <w:r>
              <w:rPr>
                <w:rFonts w:ascii="Calibri" w:hAnsi="Calibri" w:eastAsia="宋体"/>
                <w:b w:val="0"/>
                <w:i w:val="0"/>
                <w:color w:val="000000"/>
                <w:sz w:val="17"/>
              </w:rPr>
              <w:t>接触温度、温度变化率</w:t>
            </w:r>
          </w:p>
        </w:tc>
        <w:tc>
          <w:tcPr>
            <w:tcW w:type="dxa" w:w="2810"/>
            <w:vAlign w:val="center"/>
          </w:tcPr>
          <w:p>
            <w:pPr>
              <w:spacing w:before="0" w:after="40" w:line="259" w:lineRule="auto"/>
              <w:jc w:val="left"/>
            </w:pPr>
            <w:r>
              <w:rPr>
                <w:rFonts w:ascii="Calibri" w:hAnsi="Calibri" w:eastAsia="宋体"/>
                <w:b w:val="0"/>
                <w:i w:val="0"/>
                <w:color w:val="000000"/>
                <w:sz w:val="17"/>
              </w:rPr>
              <w:t>提高冷热分类与热风险决策能力</w:t>
            </w:r>
          </w:p>
        </w:tc>
      </w:tr>
      <w:tr>
        <w:tc>
          <w:tcPr>
            <w:tcW w:type="dxa" w:w="1800"/>
            <w:vAlign w:val="center"/>
          </w:tcPr>
          <w:p>
            <w:pPr>
              <w:spacing w:before="0" w:after="40" w:line="259" w:lineRule="auto"/>
              <w:jc w:val="left"/>
            </w:pPr>
            <w:r>
              <w:rPr>
                <w:rFonts w:ascii="Calibri" w:hAnsi="Calibri" w:eastAsia="宋体"/>
                <w:b w:val="0"/>
                <w:i w:val="0"/>
                <w:color w:val="000000"/>
                <w:sz w:val="17"/>
              </w:rPr>
              <w:t>多任务操作</w:t>
            </w:r>
          </w:p>
        </w:tc>
        <w:tc>
          <w:tcPr>
            <w:tcW w:type="dxa" w:w="2550"/>
            <w:vAlign w:val="center"/>
          </w:tcPr>
          <w:p>
            <w:pPr>
              <w:spacing w:before="0" w:after="40" w:line="259" w:lineRule="auto"/>
              <w:jc w:val="left"/>
            </w:pPr>
            <w:r>
              <w:rPr>
                <w:rFonts w:ascii="Calibri" w:hAnsi="Calibri" w:eastAsia="宋体"/>
                <w:b w:val="0"/>
                <w:i w:val="0"/>
                <w:color w:val="000000"/>
                <w:sz w:val="17"/>
              </w:rPr>
              <w:t>视觉被假手状态持续占用</w:t>
            </w:r>
          </w:p>
        </w:tc>
        <w:tc>
          <w:tcPr>
            <w:tcW w:type="dxa" w:w="2200"/>
            <w:vAlign w:val="center"/>
          </w:tcPr>
          <w:p>
            <w:pPr>
              <w:spacing w:before="0" w:after="40" w:line="259" w:lineRule="auto"/>
              <w:jc w:val="left"/>
            </w:pPr>
            <w:r>
              <w:rPr>
                <w:rFonts w:ascii="Calibri" w:hAnsi="Calibri" w:eastAsia="宋体"/>
                <w:b w:val="0"/>
                <w:i w:val="0"/>
                <w:color w:val="000000"/>
                <w:sz w:val="17"/>
              </w:rPr>
              <w:t>角度+三维力+温度的低维事件</w:t>
            </w:r>
          </w:p>
        </w:tc>
        <w:tc>
          <w:tcPr>
            <w:tcW w:type="dxa" w:w="2810"/>
            <w:vAlign w:val="center"/>
          </w:tcPr>
          <w:p>
            <w:pPr>
              <w:spacing w:before="0" w:after="40" w:line="259" w:lineRule="auto"/>
              <w:jc w:val="left"/>
            </w:pPr>
            <w:r>
              <w:rPr>
                <w:rFonts w:ascii="Calibri" w:hAnsi="Calibri" w:eastAsia="宋体"/>
                <w:b w:val="0"/>
                <w:i w:val="0"/>
                <w:color w:val="000000"/>
                <w:sz w:val="17"/>
              </w:rPr>
              <w:t>降低手部注视比例并释放环境监测资源</w:t>
            </w:r>
          </w:p>
        </w:tc>
      </w:tr>
    </w:tbl>
    <w:p>
      <w:pPr>
        <w:spacing w:before="80" w:after="120"/>
      </w:pPr>
      <w:r>
        <w:rPr>
          <w:rFonts w:ascii="Calibri" w:hAnsi="Calibri" w:eastAsia="宋体"/>
          <w:b w:val="0"/>
          <w:i/>
          <w:color w:val="667085"/>
          <w:sz w:val="17"/>
        </w:rPr>
        <w:t>注：“预期作用”是系统需求假设，不是第二章可以直接宣称的实验结论。</w:t>
      </w:r>
    </w:p>
    <w:p>
      <w:pPr>
        <w:pStyle w:val="Heading1"/>
        <w:keepNext/>
      </w:pPr>
      <w:r>
        <w:rPr>
          <w:rFonts w:ascii="Calibri" w:hAnsi="Calibri" w:eastAsia="黑体"/>
          <w:b/>
          <w:i w:val="0"/>
          <w:color w:val="2E5F8A"/>
          <w:sz w:val="32"/>
        </w:rPr>
        <w:t>4 角度、三维力与温度为何需要同时存在</w:t>
      </w:r>
    </w:p>
    <w:p>
      <w:pPr>
        <w:pStyle w:val="Heading2"/>
        <w:keepNext/>
      </w:pPr>
      <w:r>
        <w:rPr>
          <w:rFonts w:ascii="Calibri" w:hAnsi="Calibri" w:eastAsia="黑体"/>
          <w:b/>
          <w:i w:val="0"/>
          <w:color w:val="2E5F8A"/>
          <w:sz w:val="26"/>
        </w:rPr>
        <w:t>4.1 三类信息减少不同类型的不确定性</w:t>
      </w:r>
    </w:p>
    <w:p>
      <w:pPr>
        <w:spacing w:before="0" w:after="160" w:line="320" w:lineRule="auto"/>
        <w:ind w:firstLine="440"/>
        <w:jc w:val="both"/>
      </w:pPr>
      <w:r>
        <w:rPr>
          <w:rFonts w:ascii="Calibri" w:hAnsi="Calibri" w:eastAsia="宋体"/>
          <w:b w:val="0"/>
          <w:i w:val="0"/>
          <w:color w:val="000000"/>
          <w:sz w:val="22"/>
        </w:rPr>
        <w:t>关节角度属于假手内部状态，主要在接触前和运动过程中发挥作用；三维力属于假手与物体之间的交互状态，主要在接触后发挥作用；温度属于对象物理属性及风险状态，通常需要接触后一定时间才能形成稳定测量。若仅有角度，系统知道手指到哪里，却不知道是否可靠接触；若仅有法向力，系统知道夹持强弱，却无法完整描述切向载荷方向；若仅有触觉而没有温度，系统仍不能判断外观相同对象的冷热状态。因此，三者不是重复堆叠，而是覆盖“自身状态—接触关系—对象状态”三个层次。</w:t>
      </w:r>
    </w:p>
    <w:p>
      <w:pPr>
        <w:keepLines/>
        <w:spacing w:before="120" w:after="200"/>
        <w:ind w:left="115" w:right="115"/>
        <w:shd w:fill="EAF1F8"/>
        <w:pBdr>
          <w:top w:val="single" w:sz="6" w:space="5" w:color="C7D5E3"/>
          <w:left w:val="single" w:sz="6" w:space="5" w:color="C7D5E3"/>
          <w:bottom w:val="single" w:sz="6" w:space="5" w:color="C7D5E3"/>
          <w:right w:val="single" w:sz="6" w:space="5" w:color="C7D5E3"/>
        </w:pBdr>
      </w:pPr>
      <w:r>
        <w:rPr>
          <w:rFonts w:ascii="Calibri" w:hAnsi="Calibri" w:eastAsia="黑体"/>
          <w:b/>
          <w:i w:val="0"/>
          <w:color w:val="17365D"/>
          <w:sz w:val="20"/>
        </w:rPr>
        <w:t xml:space="preserve">论证主句  </w:t>
      </w:r>
      <w:r>
        <w:rPr>
          <w:rFonts w:ascii="Calibri" w:hAnsi="Calibri" w:eastAsia="宋体"/>
          <w:b w:val="0"/>
          <w:i w:val="0"/>
          <w:color w:val="17365D"/>
          <w:sz w:val="20"/>
        </w:rPr>
        <w:t>关节角度回答“假手在哪里、正在怎样运动”，指尖三维力回答“假手如何作用于物体、物体是否趋于滑落”，温度回答“所接触对象处于何种热状态、是否存在热风险”。</w:t>
      </w:r>
    </w:p>
    <w:p>
      <w:pPr>
        <w:pStyle w:val="Heading2"/>
        <w:keepNext/>
      </w:pPr>
      <w:r>
        <w:rPr>
          <w:rFonts w:ascii="Calibri" w:hAnsi="Calibri" w:eastAsia="黑体"/>
          <w:b/>
          <w:i w:val="0"/>
          <w:color w:val="2E5F8A"/>
          <w:sz w:val="26"/>
        </w:rPr>
        <w:t>4.2 不应把全部原始数据直接反馈给人</w:t>
      </w:r>
    </w:p>
    <w:p>
      <w:pPr>
        <w:spacing w:before="0" w:after="160" w:line="320" w:lineRule="auto"/>
        <w:ind w:firstLine="440"/>
        <w:jc w:val="both"/>
      </w:pPr>
      <w:r>
        <w:rPr>
          <w:rFonts w:ascii="Calibri" w:hAnsi="Calibri" w:eastAsia="宋体"/>
          <w:b w:val="0"/>
          <w:i w:val="0"/>
          <w:color w:val="000000"/>
          <w:sz w:val="22"/>
        </w:rPr>
        <w:t>多自由度假手可产生大量角度和多指力数据，若全部连续映射到残肢刺激，可能造成信息过载、学习负担和通道干扰。更合理的架构是将原始数据保留给自动控制和记录，同时向使用者输出低维、任务相关变量：将多个角度压缩为手部开度、抓型、运动方向和到位事件；将三维力转换为接触、力等级、剪切方向和滑移风险；将温度转换为冷/正常/热/危险等等级。Sensinger和Dosen强调，补充反馈的价值与其在运动控制中的角色及偶然反馈共同决定[5]；用户研究也要求反馈可靠、可理解且不造成混乱[3]。</w:t>
      </w:r>
    </w:p>
    <w:p>
      <w:pPr>
        <w:pStyle w:val="Heading2"/>
        <w:keepNext/>
      </w:pPr>
      <w:r>
        <w:rPr>
          <w:rFonts w:ascii="Calibri" w:hAnsi="Calibri" w:eastAsia="黑体"/>
          <w:b/>
          <w:i w:val="0"/>
          <w:color w:val="2E5F8A"/>
          <w:sz w:val="26"/>
        </w:rPr>
        <w:t>4.3 证据强度与写作措辞</w:t>
      </w:r>
    </w:p>
    <w:p>
      <w:pPr>
        <w:keepNext/>
        <w:spacing w:before="120" w:after="80"/>
      </w:pPr>
      <w:r>
        <w:rPr>
          <w:rFonts w:ascii="Calibri" w:hAnsi="Calibri" w:eastAsia="宋体"/>
          <w:b/>
          <w:i w:val="0"/>
          <w:color w:val="17365D"/>
          <w:sz w:val="20"/>
        </w:rPr>
        <w:t>表3  三类信息的证据强度与第二章建议措辞</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550"/>
        <w:gridCol w:w="2700"/>
        <w:gridCol w:w="2450"/>
        <w:gridCol w:w="2660"/>
      </w:tblGrid>
      <w:tr>
        <w:trPr>
          <w:cantSplit/>
          <w:tblHeader w:val="true"/>
        </w:trPr>
        <w:tc>
          <w:tcPr>
            <w:tcW w:type="dxa" w:w="15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信息</w:t>
            </w:r>
          </w:p>
        </w:tc>
        <w:tc>
          <w:tcPr>
            <w:tcW w:type="dxa" w:w="27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当前证据强项</w:t>
            </w:r>
          </w:p>
        </w:tc>
        <w:tc>
          <w:tcPr>
            <w:tcW w:type="dxa" w:w="24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主要局限</w:t>
            </w:r>
          </w:p>
        </w:tc>
        <w:tc>
          <w:tcPr>
            <w:tcW w:type="dxa" w:w="266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第二章建议措辞</w:t>
            </w:r>
          </w:p>
        </w:tc>
      </w:tr>
      <w:tr>
        <w:tc>
          <w:tcPr>
            <w:tcW w:type="dxa" w:w="1550"/>
            <w:vAlign w:val="center"/>
          </w:tcPr>
          <w:p>
            <w:pPr>
              <w:spacing w:before="0" w:after="40" w:line="259" w:lineRule="auto"/>
              <w:jc w:val="left"/>
            </w:pPr>
            <w:r>
              <w:rPr>
                <w:rFonts w:ascii="Calibri" w:hAnsi="Calibri" w:eastAsia="宋体"/>
                <w:b w:val="0"/>
                <w:i w:val="0"/>
                <w:color w:val="000000"/>
                <w:sz w:val="17"/>
              </w:rPr>
              <w:t>关节角度/手部开度</w:t>
            </w:r>
          </w:p>
        </w:tc>
        <w:tc>
          <w:tcPr>
            <w:tcW w:type="dxa" w:w="2700"/>
            <w:vAlign w:val="center"/>
          </w:tcPr>
          <w:p>
            <w:pPr>
              <w:spacing w:before="0" w:after="40" w:line="259" w:lineRule="auto"/>
              <w:jc w:val="left"/>
            </w:pPr>
            <w:r>
              <w:rPr>
                <w:rFonts w:ascii="Calibri" w:hAnsi="Calibri" w:eastAsia="宋体"/>
                <w:b w:val="0"/>
                <w:i w:val="0"/>
                <w:color w:val="000000"/>
                <w:sz w:val="17"/>
              </w:rPr>
              <w:t>有综述、截肢者交叉实验和近年双自由度反馈研究支持</w:t>
            </w:r>
          </w:p>
        </w:tc>
        <w:tc>
          <w:tcPr>
            <w:tcW w:type="dxa" w:w="2450"/>
            <w:vAlign w:val="center"/>
          </w:tcPr>
          <w:p>
            <w:pPr>
              <w:spacing w:before="0" w:after="40" w:line="259" w:lineRule="auto"/>
              <w:jc w:val="left"/>
            </w:pPr>
            <w:r>
              <w:rPr>
                <w:rFonts w:ascii="Calibri" w:hAnsi="Calibri" w:eastAsia="宋体"/>
                <w:b w:val="0"/>
                <w:i w:val="0"/>
                <w:color w:val="000000"/>
                <w:sz w:val="17"/>
              </w:rPr>
              <w:t>不同编码方法效果不一致；部分任务可被视觉和电机线索替代</w:t>
            </w:r>
          </w:p>
        </w:tc>
        <w:tc>
          <w:tcPr>
            <w:tcW w:type="dxa" w:w="2660"/>
            <w:vAlign w:val="center"/>
          </w:tcPr>
          <w:p>
            <w:pPr>
              <w:spacing w:before="0" w:after="40" w:line="259" w:lineRule="auto"/>
              <w:jc w:val="left"/>
            </w:pPr>
            <w:r>
              <w:rPr>
                <w:rFonts w:ascii="Calibri" w:hAnsi="Calibri" w:eastAsia="宋体"/>
                <w:b w:val="0"/>
                <w:i w:val="0"/>
                <w:color w:val="000000"/>
                <w:sz w:val="17"/>
              </w:rPr>
              <w:t>“为人工本体状态反馈和降低视觉确认提供信息基础”</w:t>
            </w:r>
          </w:p>
        </w:tc>
      </w:tr>
      <w:tr>
        <w:tc>
          <w:tcPr>
            <w:tcW w:type="dxa" w:w="1550"/>
            <w:vAlign w:val="center"/>
          </w:tcPr>
          <w:p>
            <w:pPr>
              <w:spacing w:before="0" w:after="40" w:line="259" w:lineRule="auto"/>
              <w:jc w:val="left"/>
            </w:pPr>
            <w:r>
              <w:rPr>
                <w:rFonts w:ascii="Calibri" w:hAnsi="Calibri" w:eastAsia="宋体"/>
                <w:b w:val="0"/>
                <w:i w:val="0"/>
                <w:color w:val="000000"/>
                <w:sz w:val="17"/>
              </w:rPr>
              <w:t>指尖三维力</w:t>
            </w:r>
          </w:p>
        </w:tc>
        <w:tc>
          <w:tcPr>
            <w:tcW w:type="dxa" w:w="2700"/>
            <w:vAlign w:val="center"/>
          </w:tcPr>
          <w:p>
            <w:pPr>
              <w:spacing w:before="0" w:after="40" w:line="259" w:lineRule="auto"/>
              <w:jc w:val="left"/>
            </w:pPr>
            <w:r>
              <w:rPr>
                <w:rFonts w:ascii="Calibri" w:hAnsi="Calibri" w:eastAsia="宋体"/>
                <w:b w:val="0"/>
                <w:i w:val="0"/>
                <w:color w:val="000000"/>
                <w:sz w:val="17"/>
              </w:rPr>
              <w:t>法向力控制、接触/滑移检测和局部自动闭环证据较充分</w:t>
            </w:r>
          </w:p>
        </w:tc>
        <w:tc>
          <w:tcPr>
            <w:tcW w:type="dxa" w:w="2450"/>
            <w:vAlign w:val="center"/>
          </w:tcPr>
          <w:p>
            <w:pPr>
              <w:spacing w:before="0" w:after="40" w:line="259" w:lineRule="auto"/>
              <w:jc w:val="left"/>
            </w:pPr>
            <w:r>
              <w:rPr>
                <w:rFonts w:ascii="Calibri" w:hAnsi="Calibri" w:eastAsia="宋体"/>
                <w:b w:val="0"/>
                <w:i w:val="0"/>
                <w:color w:val="000000"/>
                <w:sz w:val="17"/>
              </w:rPr>
              <w:t>直接向人反馈三维连续向量的临床证据少；常规抓握可能存在冗余</w:t>
            </w:r>
          </w:p>
        </w:tc>
        <w:tc>
          <w:tcPr>
            <w:tcW w:type="dxa" w:w="2660"/>
            <w:vAlign w:val="center"/>
          </w:tcPr>
          <w:p>
            <w:pPr>
              <w:spacing w:before="0" w:after="40" w:line="259" w:lineRule="auto"/>
              <w:jc w:val="left"/>
            </w:pPr>
            <w:r>
              <w:rPr>
                <w:rFonts w:ascii="Calibri" w:hAnsi="Calibri" w:eastAsia="宋体"/>
                <w:b w:val="0"/>
                <w:i w:val="0"/>
                <w:color w:val="000000"/>
                <w:sz w:val="17"/>
              </w:rPr>
              <w:t>“为接触力调节、载荷方向估计和滑移识别提供统一感知基础”</w:t>
            </w:r>
          </w:p>
        </w:tc>
      </w:tr>
      <w:tr>
        <w:tc>
          <w:tcPr>
            <w:tcW w:type="dxa" w:w="1550"/>
            <w:vAlign w:val="center"/>
          </w:tcPr>
          <w:p>
            <w:pPr>
              <w:spacing w:before="0" w:after="40" w:line="259" w:lineRule="auto"/>
              <w:jc w:val="left"/>
            </w:pPr>
            <w:r>
              <w:rPr>
                <w:rFonts w:ascii="Calibri" w:hAnsi="Calibri" w:eastAsia="宋体"/>
                <w:b w:val="0"/>
                <w:i w:val="0"/>
                <w:color w:val="000000"/>
                <w:sz w:val="17"/>
              </w:rPr>
              <w:t>温度</w:t>
            </w:r>
          </w:p>
        </w:tc>
        <w:tc>
          <w:tcPr>
            <w:tcW w:type="dxa" w:w="2700"/>
            <w:vAlign w:val="center"/>
          </w:tcPr>
          <w:p>
            <w:pPr>
              <w:spacing w:before="0" w:after="40" w:line="259" w:lineRule="auto"/>
              <w:jc w:val="left"/>
            </w:pPr>
            <w:r>
              <w:rPr>
                <w:rFonts w:ascii="Calibri" w:hAnsi="Calibri" w:eastAsia="宋体"/>
                <w:b w:val="0"/>
                <w:i w:val="0"/>
                <w:color w:val="000000"/>
                <w:sz w:val="17"/>
              </w:rPr>
              <w:t>自然温冷觉诱发、单例集成假手和热危险预警已有可行性证据</w:t>
            </w:r>
          </w:p>
        </w:tc>
        <w:tc>
          <w:tcPr>
            <w:tcW w:type="dxa" w:w="2450"/>
            <w:vAlign w:val="center"/>
          </w:tcPr>
          <w:p>
            <w:pPr>
              <w:spacing w:before="0" w:after="40" w:line="259" w:lineRule="auto"/>
              <w:jc w:val="left"/>
            </w:pPr>
            <w:r>
              <w:rPr>
                <w:rFonts w:ascii="Calibri" w:hAnsi="Calibri" w:eastAsia="宋体"/>
                <w:b w:val="0"/>
                <w:i w:val="0"/>
                <w:color w:val="000000"/>
                <w:sz w:val="17"/>
              </w:rPr>
              <w:t>样本小、响应动态与安全阈值尚需验证，市场转化有限</w:t>
            </w:r>
          </w:p>
        </w:tc>
        <w:tc>
          <w:tcPr>
            <w:tcW w:type="dxa" w:w="2660"/>
            <w:vAlign w:val="center"/>
          </w:tcPr>
          <w:p>
            <w:pPr>
              <w:spacing w:before="0" w:after="40" w:line="259" w:lineRule="auto"/>
              <w:jc w:val="left"/>
            </w:pPr>
            <w:r>
              <w:rPr>
                <w:rFonts w:ascii="Calibri" w:hAnsi="Calibri" w:eastAsia="宋体"/>
                <w:b w:val="0"/>
                <w:i w:val="0"/>
                <w:color w:val="000000"/>
                <w:sz w:val="17"/>
              </w:rPr>
              <w:t>“作为不可视热状态识别和安全防护的补充感觉需求”</w:t>
            </w:r>
          </w:p>
        </w:tc>
      </w:tr>
    </w:tbl>
    <w:p>
      <w:pPr>
        <w:spacing w:before="80" w:after="120"/>
      </w:pPr>
      <w:r>
        <w:rPr>
          <w:rFonts w:ascii="Calibri" w:hAnsi="Calibri" w:eastAsia="宋体"/>
          <w:b w:val="0"/>
          <w:i/>
          <w:color w:val="667085"/>
          <w:sz w:val="17"/>
        </w:rPr>
        <w:t>证据综合自[5]、[8]–[19]。</w:t>
      </w:r>
    </w:p>
    <w:p>
      <w:pPr>
        <w:spacing w:before="0" w:after="160" w:line="320" w:lineRule="auto"/>
        <w:ind w:firstLine="440"/>
        <w:jc w:val="both"/>
      </w:pPr>
      <w:r>
        <w:rPr>
          <w:rFonts w:ascii="Calibri" w:hAnsi="Calibri" w:eastAsia="宋体"/>
          <w:b w:val="0"/>
          <w:i w:val="0"/>
          <w:color w:val="000000"/>
          <w:sz w:val="22"/>
        </w:rPr>
        <w:t>从临床转化角度看，感觉反馈仍面临真实任务评价、用户收益与硬件负担之间的权衡[20]。一项4周日常使用研究提示，非侵入式反馈能够带来触碰体验和身体完整感，但功能获益仍需更强的长期证据[21]。相关综述进一步表明，神经刺激、感觉替代和模态匹配均有潜力，却各自受到侵入性、舒适性、空间分辨率、学习和长期稳定性限制[22]、[23]。这些证据支持本研究采用可拆分、可关闭、可个性化的反馈接口。</w:t>
      </w:r>
    </w:p>
    <w:p>
      <w:pPr>
        <w:pStyle w:val="Heading1"/>
        <w:keepNext/>
      </w:pPr>
      <w:r>
        <w:rPr>
          <w:rFonts w:ascii="Calibri" w:hAnsi="Calibri" w:eastAsia="黑体"/>
          <w:b/>
          <w:i w:val="0"/>
          <w:color w:val="2E5F8A"/>
          <w:sz w:val="32"/>
        </w:rPr>
        <w:t>5 商用灵巧假肢市场功能扫描</w:t>
      </w:r>
    </w:p>
    <w:p>
      <w:pPr>
        <w:pStyle w:val="Heading2"/>
        <w:keepNext/>
      </w:pPr>
      <w:r>
        <w:rPr>
          <w:rFonts w:ascii="Calibri" w:hAnsi="Calibri" w:eastAsia="黑体"/>
          <w:b/>
          <w:i w:val="0"/>
          <w:color w:val="2E5F8A"/>
          <w:sz w:val="26"/>
        </w:rPr>
        <w:t>5.1 分析口径</w:t>
      </w:r>
    </w:p>
    <w:p>
      <w:pPr>
        <w:spacing w:before="0" w:after="160" w:line="320" w:lineRule="auto"/>
        <w:ind w:firstLine="440"/>
        <w:jc w:val="both"/>
      </w:pPr>
      <w:r>
        <w:rPr>
          <w:rFonts w:ascii="Calibri" w:hAnsi="Calibri" w:eastAsia="宋体"/>
          <w:b w:val="0"/>
          <w:i w:val="0"/>
          <w:color w:val="000000"/>
          <w:sz w:val="22"/>
        </w:rPr>
        <w:t>本节不是销量或市场规模预测，而是针对论文问题开展的功能市场扫描。截至2026年9月3日，选择公开资料较完整且具有代表性的多关节电动假手/手臂，比较控制与抓型、公开传感能力、用户反馈形式及是否覆盖本文三类信息。产品功能可能随地区、配置和软件版本变化，表中结论仅代表核验日期可获得的官方公开资料。</w:t>
      </w:r>
    </w:p>
    <w:p>
      <w:pPr>
        <w:keepNext/>
        <w:spacing w:before="120" w:after="80"/>
      </w:pPr>
      <w:r>
        <w:rPr>
          <w:rFonts w:ascii="Calibri" w:hAnsi="Calibri" w:eastAsia="宋体"/>
          <w:b/>
          <w:i w:val="0"/>
          <w:color w:val="17365D"/>
          <w:sz w:val="20"/>
        </w:rPr>
        <w:t>表4  代表性商用产品的传感与用户反馈能力（公开资料口径）</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450"/>
        <w:gridCol w:w="2250"/>
        <w:gridCol w:w="2450"/>
        <w:gridCol w:w="1150"/>
        <w:gridCol w:w="2060"/>
      </w:tblGrid>
      <w:tr>
        <w:trPr>
          <w:cantSplit/>
          <w:tblHeader w:val="true"/>
        </w:trPr>
        <w:tc>
          <w:tcPr>
            <w:tcW w:type="dxa" w:w="14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产品</w:t>
            </w:r>
          </w:p>
        </w:tc>
        <w:tc>
          <w:tcPr>
            <w:tcW w:type="dxa" w:w="22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运动/控制特征</w:t>
            </w:r>
          </w:p>
        </w:tc>
        <w:tc>
          <w:tcPr>
            <w:tcW w:type="dxa" w:w="24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公开的角度/力相关反馈</w:t>
            </w:r>
          </w:p>
        </w:tc>
        <w:tc>
          <w:tcPr>
            <w:tcW w:type="dxa" w:w="11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温度反馈</w:t>
            </w:r>
          </w:p>
        </w:tc>
        <w:tc>
          <w:tcPr>
            <w:tcW w:type="dxa" w:w="206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与本文需求的关系</w:t>
            </w:r>
          </w:p>
        </w:tc>
      </w:tr>
      <w:tr>
        <w:tc>
          <w:tcPr>
            <w:tcW w:type="dxa" w:w="1450"/>
            <w:vAlign w:val="center"/>
          </w:tcPr>
          <w:p>
            <w:pPr>
              <w:spacing w:before="0" w:after="40" w:line="259" w:lineRule="auto"/>
              <w:jc w:val="left"/>
            </w:pPr>
            <w:r>
              <w:rPr>
                <w:rFonts w:ascii="Calibri" w:hAnsi="Calibri" w:eastAsia="宋体"/>
                <w:b w:val="0"/>
                <w:i w:val="0"/>
                <w:color w:val="000000"/>
                <w:sz w:val="15"/>
              </w:rPr>
              <w:t>Ottobock bebionic</w:t>
            </w:r>
          </w:p>
        </w:tc>
        <w:tc>
          <w:tcPr>
            <w:tcW w:type="dxa" w:w="2250"/>
            <w:vAlign w:val="center"/>
          </w:tcPr>
          <w:p>
            <w:pPr>
              <w:spacing w:before="0" w:after="40" w:line="259" w:lineRule="auto"/>
              <w:jc w:val="left"/>
            </w:pPr>
            <w:r>
              <w:rPr>
                <w:rFonts w:ascii="Calibri" w:hAnsi="Calibri" w:eastAsia="宋体"/>
                <w:b w:val="0"/>
                <w:i w:val="0"/>
                <w:color w:val="000000"/>
                <w:sz w:val="15"/>
              </w:rPr>
              <w:t>14种抓型/手位、各指独立电机、比例速度控制[24]</w:t>
            </w:r>
          </w:p>
        </w:tc>
        <w:tc>
          <w:tcPr>
            <w:tcW w:type="dxa" w:w="2450"/>
            <w:vAlign w:val="center"/>
          </w:tcPr>
          <w:p>
            <w:pPr>
              <w:spacing w:before="0" w:after="40" w:line="259" w:lineRule="auto"/>
              <w:jc w:val="left"/>
            </w:pPr>
            <w:r>
              <w:rPr>
                <w:rFonts w:ascii="Calibri" w:hAnsi="Calibri" w:eastAsia="宋体"/>
                <w:b w:val="0"/>
                <w:i w:val="0"/>
                <w:color w:val="000000"/>
                <w:sz w:val="15"/>
              </w:rPr>
              <w:t>公开页面未说明向用户输出关节开度或对象接触力</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重点仍是驱动、抓型和控制；不能由独立电机推断用户获得本体反馈</w:t>
            </w:r>
          </w:p>
        </w:tc>
      </w:tr>
      <w:tr>
        <w:tc>
          <w:tcPr>
            <w:tcW w:type="dxa" w:w="1450"/>
            <w:vAlign w:val="center"/>
          </w:tcPr>
          <w:p>
            <w:pPr>
              <w:spacing w:before="0" w:after="40" w:line="259" w:lineRule="auto"/>
              <w:jc w:val="left"/>
            </w:pPr>
            <w:r>
              <w:rPr>
                <w:rFonts w:ascii="Calibri" w:hAnsi="Calibri" w:eastAsia="宋体"/>
                <w:b w:val="0"/>
                <w:i w:val="0"/>
                <w:color w:val="000000"/>
                <w:sz w:val="15"/>
              </w:rPr>
              <w:t>Össur i-Limb Quantum</w:t>
            </w:r>
          </w:p>
        </w:tc>
        <w:tc>
          <w:tcPr>
            <w:tcW w:type="dxa" w:w="2250"/>
            <w:vAlign w:val="center"/>
          </w:tcPr>
          <w:p>
            <w:pPr>
              <w:spacing w:before="0" w:after="40" w:line="259" w:lineRule="auto"/>
              <w:jc w:val="left"/>
            </w:pPr>
            <w:r>
              <w:rPr>
                <w:rFonts w:ascii="Calibri" w:hAnsi="Calibri" w:eastAsia="宋体"/>
                <w:b w:val="0"/>
                <w:i w:val="0"/>
                <w:color w:val="000000"/>
                <w:sz w:val="15"/>
              </w:rPr>
              <w:t>24种预设抓型和12种个性化抓型；应用程序、肌电、手势和Grip Chips等入口[25]</w:t>
            </w:r>
          </w:p>
        </w:tc>
        <w:tc>
          <w:tcPr>
            <w:tcW w:type="dxa" w:w="2450"/>
            <w:vAlign w:val="center"/>
          </w:tcPr>
          <w:p>
            <w:pPr>
              <w:spacing w:before="0" w:after="40" w:line="259" w:lineRule="auto"/>
              <w:jc w:val="left"/>
            </w:pPr>
            <w:r>
              <w:rPr>
                <w:rFonts w:ascii="Calibri" w:hAnsi="Calibri" w:eastAsia="宋体"/>
                <w:b w:val="0"/>
                <w:i w:val="0"/>
                <w:color w:val="000000"/>
                <w:sz w:val="15"/>
              </w:rPr>
              <w:t>应用程序提供设置、肌电图和状态检查；公开页面未描述对象触觉回传[26]</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丰富抓型和配置不等于触觉/本体反馈</w:t>
            </w:r>
          </w:p>
        </w:tc>
      </w:tr>
      <w:tr>
        <w:tc>
          <w:tcPr>
            <w:tcW w:type="dxa" w:w="1450"/>
            <w:vAlign w:val="center"/>
          </w:tcPr>
          <w:p>
            <w:pPr>
              <w:spacing w:before="0" w:after="40" w:line="259" w:lineRule="auto"/>
              <w:jc w:val="left"/>
            </w:pPr>
            <w:r>
              <w:rPr>
                <w:rFonts w:ascii="Calibri" w:hAnsi="Calibri" w:eastAsia="宋体"/>
                <w:b w:val="0"/>
                <w:i w:val="0"/>
                <w:color w:val="000000"/>
                <w:sz w:val="15"/>
              </w:rPr>
              <w:t>TASKA HandGen2</w:t>
            </w:r>
          </w:p>
        </w:tc>
        <w:tc>
          <w:tcPr>
            <w:tcW w:type="dxa" w:w="2250"/>
            <w:vAlign w:val="center"/>
          </w:tcPr>
          <w:p>
            <w:pPr>
              <w:spacing w:before="0" w:after="40" w:line="259" w:lineRule="auto"/>
              <w:jc w:val="left"/>
            </w:pPr>
            <w:r>
              <w:rPr>
                <w:rFonts w:ascii="Calibri" w:hAnsi="Calibri" w:eastAsia="宋体"/>
                <w:b w:val="0"/>
                <w:i w:val="0"/>
                <w:color w:val="000000"/>
                <w:sz w:val="15"/>
              </w:rPr>
              <w:t>防水、柔性腕、抓握力和抓型切换按钮等机械/控制特征[27]</w:t>
            </w:r>
          </w:p>
        </w:tc>
        <w:tc>
          <w:tcPr>
            <w:tcW w:type="dxa" w:w="2450"/>
            <w:vAlign w:val="center"/>
          </w:tcPr>
          <w:p>
            <w:pPr>
              <w:spacing w:before="0" w:after="40" w:line="259" w:lineRule="auto"/>
              <w:jc w:val="left"/>
            </w:pPr>
            <w:r>
              <w:rPr>
                <w:rFonts w:ascii="Calibri" w:hAnsi="Calibri" w:eastAsia="宋体"/>
                <w:b w:val="0"/>
                <w:i w:val="0"/>
                <w:color w:val="000000"/>
                <w:sz w:val="15"/>
              </w:rPr>
              <w:t>官方产品页未描述向用户提供对象接触力反馈</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“抓握力指标”表示输出能力，不能等同于测得并反馈实际接触力</w:t>
            </w:r>
          </w:p>
        </w:tc>
      </w:tr>
      <w:tr>
        <w:tc>
          <w:tcPr>
            <w:tcW w:type="dxa" w:w="1450"/>
            <w:vAlign w:val="center"/>
          </w:tcPr>
          <w:p>
            <w:pPr>
              <w:spacing w:before="0" w:after="40" w:line="259" w:lineRule="auto"/>
              <w:jc w:val="left"/>
            </w:pPr>
            <w:r>
              <w:rPr>
                <w:rFonts w:ascii="Calibri" w:hAnsi="Calibri" w:eastAsia="宋体"/>
                <w:b w:val="0"/>
                <w:i w:val="0"/>
                <w:color w:val="000000"/>
                <w:sz w:val="15"/>
              </w:rPr>
              <w:t>Open Bionics Hero Arm</w:t>
            </w:r>
          </w:p>
        </w:tc>
        <w:tc>
          <w:tcPr>
            <w:tcW w:type="dxa" w:w="2250"/>
            <w:vAlign w:val="center"/>
          </w:tcPr>
          <w:p>
            <w:pPr>
              <w:spacing w:before="0" w:after="40" w:line="259" w:lineRule="auto"/>
              <w:jc w:val="left"/>
            </w:pPr>
            <w:r>
              <w:rPr>
                <w:rFonts w:ascii="Calibri" w:hAnsi="Calibri" w:eastAsia="宋体"/>
                <w:b w:val="0"/>
                <w:i w:val="0"/>
                <w:color w:val="000000"/>
                <w:sz w:val="15"/>
              </w:rPr>
              <w:t>6种抓型、比例控制、冻结模式[28]</w:t>
            </w:r>
          </w:p>
        </w:tc>
        <w:tc>
          <w:tcPr>
            <w:tcW w:type="dxa" w:w="2450"/>
            <w:vAlign w:val="center"/>
          </w:tcPr>
          <w:p>
            <w:pPr>
              <w:spacing w:before="0" w:after="40" w:line="259" w:lineRule="auto"/>
              <w:jc w:val="left"/>
            </w:pPr>
            <w:r>
              <w:rPr>
                <w:rFonts w:ascii="Calibri" w:hAnsi="Calibri" w:eastAsia="宋体"/>
                <w:b w:val="0"/>
                <w:i w:val="0"/>
                <w:color w:val="000000"/>
                <w:sz w:val="15"/>
              </w:rPr>
              <w:t>振动、蜂鸣和灯光主要用于假手状态通知[28]</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已有非视觉提示通道，但官方表述未证明其连续编码物体接触力或手部开度</w:t>
            </w:r>
          </w:p>
        </w:tc>
      </w:tr>
      <w:tr>
        <w:tc>
          <w:tcPr>
            <w:tcW w:type="dxa" w:w="1450"/>
            <w:vAlign w:val="center"/>
          </w:tcPr>
          <w:p>
            <w:pPr>
              <w:spacing w:before="0" w:after="40" w:line="259" w:lineRule="auto"/>
              <w:jc w:val="left"/>
            </w:pPr>
            <w:r>
              <w:rPr>
                <w:rFonts w:ascii="Calibri" w:hAnsi="Calibri" w:eastAsia="宋体"/>
                <w:b w:val="0"/>
                <w:i w:val="0"/>
                <w:color w:val="000000"/>
                <w:sz w:val="15"/>
              </w:rPr>
              <w:t>PSYONIC Ability Hand</w:t>
            </w:r>
          </w:p>
        </w:tc>
        <w:tc>
          <w:tcPr>
            <w:tcW w:type="dxa" w:w="2250"/>
            <w:vAlign w:val="center"/>
          </w:tcPr>
          <w:p>
            <w:pPr>
              <w:spacing w:before="0" w:after="40" w:line="259" w:lineRule="auto"/>
              <w:jc w:val="left"/>
            </w:pPr>
            <w:r>
              <w:rPr>
                <w:rFonts w:ascii="Calibri" w:hAnsi="Calibri" w:eastAsia="宋体"/>
                <w:b w:val="0"/>
                <w:i w:val="0"/>
                <w:color w:val="000000"/>
                <w:sz w:val="15"/>
              </w:rPr>
              <w:t>多关节手；人用版公开说明指尖压力检测并以振动传到手臂[29]</w:t>
            </w:r>
          </w:p>
        </w:tc>
        <w:tc>
          <w:tcPr>
            <w:tcW w:type="dxa" w:w="2450"/>
            <w:vAlign w:val="center"/>
          </w:tcPr>
          <w:p>
            <w:pPr>
              <w:spacing w:before="0" w:after="40" w:line="259" w:lineRule="auto"/>
              <w:jc w:val="left"/>
            </w:pPr>
            <w:r>
              <w:rPr>
                <w:rFonts w:ascii="Calibri" w:hAnsi="Calibri" w:eastAsia="宋体"/>
                <w:b w:val="0"/>
                <w:i w:val="0"/>
                <w:color w:val="000000"/>
                <w:sz w:val="15"/>
              </w:rPr>
              <w:t>压力/接触振动；研究版API可输出6路编码器和30路触觉数据[30]</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是市场中较明确的触觉反馈案例，但公开资料未显示三轴剪切力或温度反馈</w:t>
            </w:r>
          </w:p>
        </w:tc>
      </w:tr>
      <w:tr>
        <w:tc>
          <w:tcPr>
            <w:tcW w:type="dxa" w:w="1450"/>
            <w:vAlign w:val="center"/>
          </w:tcPr>
          <w:p>
            <w:pPr>
              <w:spacing w:before="0" w:after="40" w:line="259" w:lineRule="auto"/>
              <w:jc w:val="left"/>
            </w:pPr>
            <w:r>
              <w:rPr>
                <w:rFonts w:ascii="Calibri" w:hAnsi="Calibri" w:eastAsia="宋体"/>
                <w:b w:val="0"/>
                <w:i w:val="0"/>
                <w:color w:val="000000"/>
                <w:sz w:val="15"/>
              </w:rPr>
              <w:t>Mobius Bionics LUKE Arm</w:t>
            </w:r>
          </w:p>
        </w:tc>
        <w:tc>
          <w:tcPr>
            <w:tcW w:type="dxa" w:w="2250"/>
            <w:vAlign w:val="center"/>
          </w:tcPr>
          <w:p>
            <w:pPr>
              <w:spacing w:before="0" w:after="40" w:line="259" w:lineRule="auto"/>
              <w:jc w:val="left"/>
            </w:pPr>
            <w:r>
              <w:rPr>
                <w:rFonts w:ascii="Calibri" w:hAnsi="Calibri" w:eastAsia="宋体"/>
                <w:b w:val="0"/>
                <w:i w:val="0"/>
                <w:color w:val="000000"/>
                <w:sz w:val="15"/>
              </w:rPr>
              <w:t>最高配置10个动力自由度；手部含4个独立控制自由度[31]</w:t>
            </w:r>
          </w:p>
        </w:tc>
        <w:tc>
          <w:tcPr>
            <w:tcW w:type="dxa" w:w="2450"/>
            <w:vAlign w:val="center"/>
          </w:tcPr>
          <w:p>
            <w:pPr>
              <w:spacing w:before="0" w:after="40" w:line="259" w:lineRule="auto"/>
              <w:jc w:val="left"/>
            </w:pPr>
            <w:r>
              <w:rPr>
                <w:rFonts w:ascii="Calibri" w:hAnsi="Calibri" w:eastAsia="宋体"/>
                <w:b w:val="0"/>
                <w:i w:val="0"/>
                <w:color w:val="000000"/>
                <w:sz w:val="15"/>
              </w:rPr>
              <w:t>官方规格说明包含提供抓握力反馈的传感器[31]</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说明商用级抓握力反馈可实现，但公开规格未给出空间分布、方向分量和编码细节</w:t>
            </w:r>
          </w:p>
        </w:tc>
      </w:tr>
      <w:tr>
        <w:tc>
          <w:tcPr>
            <w:tcW w:type="dxa" w:w="1450"/>
            <w:vAlign w:val="center"/>
          </w:tcPr>
          <w:p>
            <w:pPr>
              <w:spacing w:before="0" w:after="40" w:line="259" w:lineRule="auto"/>
              <w:jc w:val="left"/>
            </w:pPr>
            <w:r>
              <w:rPr>
                <w:rFonts w:ascii="Calibri" w:hAnsi="Calibri" w:eastAsia="宋体"/>
                <w:b w:val="0"/>
                <w:i w:val="0"/>
                <w:color w:val="000000"/>
                <w:sz w:val="15"/>
              </w:rPr>
              <w:t>COVVI Hand + COVVI Touch</w:t>
            </w:r>
          </w:p>
        </w:tc>
        <w:tc>
          <w:tcPr>
            <w:tcW w:type="dxa" w:w="2250"/>
            <w:vAlign w:val="center"/>
          </w:tcPr>
          <w:p>
            <w:pPr>
              <w:spacing w:before="0" w:after="40" w:line="259" w:lineRule="auto"/>
              <w:jc w:val="left"/>
            </w:pPr>
            <w:r>
              <w:rPr>
                <w:rFonts w:ascii="Calibri" w:hAnsi="Calibri" w:eastAsia="宋体"/>
                <w:b w:val="0"/>
                <w:i w:val="0"/>
                <w:color w:val="000000"/>
                <w:sz w:val="15"/>
              </w:rPr>
              <w:t>五指均含接触传感器；残肢振动；最快约0.5 s[32]</w:t>
            </w:r>
          </w:p>
        </w:tc>
        <w:tc>
          <w:tcPr>
            <w:tcW w:type="dxa" w:w="2450"/>
            <w:vAlign w:val="center"/>
          </w:tcPr>
          <w:p>
            <w:pPr>
              <w:spacing w:before="0" w:after="40" w:line="259" w:lineRule="auto"/>
              <w:jc w:val="left"/>
            </w:pPr>
            <w:r>
              <w:rPr>
                <w:rFonts w:ascii="Calibri" w:hAnsi="Calibri" w:eastAsia="宋体"/>
                <w:b w:val="0"/>
                <w:i w:val="0"/>
                <w:color w:val="000000"/>
                <w:sz w:val="15"/>
              </w:rPr>
              <w:t>接触可用单脉冲、连续或周期振动；可按接触手指数增强[32]</w:t>
            </w:r>
          </w:p>
        </w:tc>
        <w:tc>
          <w:tcPr>
            <w:tcW w:type="dxa" w:w="1150"/>
            <w:vAlign w:val="center"/>
          </w:tcPr>
          <w:p>
            <w:pPr>
              <w:spacing w:before="0" w:after="40" w:line="259" w:lineRule="auto"/>
              <w:jc w:val="left"/>
            </w:pPr>
            <w:r>
              <w:rPr>
                <w:rFonts w:ascii="Calibri" w:hAnsi="Calibri" w:eastAsia="宋体"/>
                <w:b w:val="0"/>
                <w:i w:val="0"/>
                <w:color w:val="000000"/>
                <w:sz w:val="15"/>
              </w:rPr>
              <w:t>未见公开说明</w:t>
            </w:r>
          </w:p>
        </w:tc>
        <w:tc>
          <w:tcPr>
            <w:tcW w:type="dxa" w:w="2060"/>
            <w:vAlign w:val="center"/>
          </w:tcPr>
          <w:p>
            <w:pPr>
              <w:spacing w:before="0" w:after="40" w:line="259" w:lineRule="auto"/>
              <w:jc w:val="left"/>
            </w:pPr>
            <w:r>
              <w:rPr>
                <w:rFonts w:ascii="Calibri" w:hAnsi="Calibri" w:eastAsia="宋体"/>
                <w:b w:val="0"/>
                <w:i w:val="0"/>
                <w:color w:val="000000"/>
                <w:sz w:val="15"/>
              </w:rPr>
              <w:t>官网标注“COMING SOON”，可视为市场方向而非成熟普及功能</w:t>
            </w:r>
          </w:p>
        </w:tc>
      </w:tr>
    </w:tbl>
    <w:p>
      <w:pPr>
        <w:spacing w:before="80" w:after="120"/>
      </w:pPr>
      <w:r>
        <w:rPr>
          <w:rFonts w:ascii="Calibri" w:hAnsi="Calibri" w:eastAsia="宋体"/>
          <w:b w:val="0"/>
          <w:i/>
          <w:color w:val="667085"/>
          <w:sz w:val="17"/>
        </w:rPr>
        <w:t>资料来源为厂商官方页面或官方规格[24]–[32]；“未见公开说明”不等于内部绝对不存在该传感器。</w:t>
      </w:r>
    </w:p>
    <w:p>
      <w:pPr>
        <w:pStyle w:val="Heading2"/>
        <w:keepNext/>
      </w:pPr>
      <w:r>
        <w:rPr>
          <w:rFonts w:ascii="Calibri" w:hAnsi="Calibri" w:eastAsia="黑体"/>
          <w:b/>
          <w:i w:val="0"/>
          <w:color w:val="2E5F8A"/>
          <w:sz w:val="26"/>
        </w:rPr>
        <w:t>5.2 市场分析结论</w:t>
      </w:r>
    </w:p>
    <w:p>
      <w:pPr>
        <w:pStyle w:val="ListBullet"/>
        <w:spacing w:after="120" w:line="280" w:lineRule="auto"/>
        <w:ind w:left="720" w:hanging="360"/>
      </w:pPr>
      <w:r>
        <w:rPr>
          <w:rFonts w:ascii="Calibri" w:hAnsi="Calibri" w:eastAsia="宋体"/>
          <w:b/>
          <w:i w:val="0"/>
          <w:color w:val="2E5F8A"/>
          <w:sz w:val="22"/>
        </w:rPr>
        <w:t>驱动丰富、感觉稀疏：</w:t>
      </w:r>
      <w:r>
        <w:rPr>
          <w:rFonts w:ascii="Calibri" w:hAnsi="Calibri" w:eastAsia="宋体"/>
          <w:b w:val="0"/>
          <w:i w:val="0"/>
          <w:color w:val="000000"/>
          <w:sz w:val="22"/>
        </w:rPr>
        <w:t>主流产品普遍把卖点集中在抓型数量、独立驱动、速度、耐用、防水和控制接口；完整的感觉回传仍不是普遍配置。</w:t>
      </w:r>
    </w:p>
    <w:p>
      <w:pPr>
        <w:pStyle w:val="ListBullet"/>
        <w:spacing w:after="120" w:line="280" w:lineRule="auto"/>
        <w:ind w:left="720" w:hanging="360"/>
      </w:pPr>
      <w:r>
        <w:rPr>
          <w:rFonts w:ascii="Calibri" w:hAnsi="Calibri" w:eastAsia="宋体"/>
          <w:b/>
          <w:i w:val="0"/>
          <w:color w:val="2E5F8A"/>
          <w:sz w:val="22"/>
        </w:rPr>
        <w:t>触觉开始商品化：</w:t>
      </w:r>
      <w:r>
        <w:rPr>
          <w:rFonts w:ascii="Calibri" w:hAnsi="Calibri" w:eastAsia="宋体"/>
          <w:b w:val="0"/>
          <w:i w:val="0"/>
          <w:color w:val="000000"/>
          <w:sz w:val="22"/>
        </w:rPr>
        <w:t>PSYONIC和LUKE已公开触压/抓握力反馈，COVVI正在推进五指接触振动，说明“感觉反馈”已从纯实验室研究进入部分产品，但覆盖范围和信息维度仍有限。</w:t>
      </w:r>
    </w:p>
    <w:p>
      <w:pPr>
        <w:pStyle w:val="ListBullet"/>
        <w:spacing w:after="120" w:line="280" w:lineRule="auto"/>
        <w:ind w:left="720" w:hanging="360"/>
      </w:pPr>
      <w:r>
        <w:rPr>
          <w:rFonts w:ascii="Calibri" w:hAnsi="Calibri" w:eastAsia="宋体"/>
          <w:b/>
          <w:i w:val="0"/>
          <w:color w:val="2E5F8A"/>
          <w:sz w:val="22"/>
        </w:rPr>
        <w:t>本体信息利用不足：</w:t>
      </w:r>
      <w:r>
        <w:rPr>
          <w:rFonts w:ascii="Calibri" w:hAnsi="Calibri" w:eastAsia="宋体"/>
          <w:b w:val="0"/>
          <w:i w:val="0"/>
          <w:color w:val="000000"/>
          <w:sz w:val="22"/>
        </w:rPr>
        <w:t>编码器和位置控制对多关节手并不罕见，但公开产品资料很少说明将关节位置或手部开度以非视觉形式持续反馈给使用者。</w:t>
      </w:r>
    </w:p>
    <w:p>
      <w:pPr>
        <w:pStyle w:val="ListBullet"/>
        <w:spacing w:after="120" w:line="280" w:lineRule="auto"/>
        <w:ind w:left="720" w:hanging="360"/>
      </w:pPr>
      <w:r>
        <w:rPr>
          <w:rFonts w:ascii="Calibri" w:hAnsi="Calibri" w:eastAsia="宋体"/>
          <w:b/>
          <w:i w:val="0"/>
          <w:color w:val="2E5F8A"/>
          <w:sz w:val="22"/>
        </w:rPr>
        <w:t>三维力存在明确差异化：</w:t>
      </w:r>
      <w:r>
        <w:rPr>
          <w:rFonts w:ascii="Calibri" w:hAnsi="Calibri" w:eastAsia="宋体"/>
          <w:b w:val="0"/>
          <w:i w:val="0"/>
          <w:color w:val="000000"/>
          <w:sz w:val="22"/>
        </w:rPr>
        <w:t>公开商用品多描述压力、接触或抓握力，尚未形成将法向与双切向分量同时用于用户反馈和自动控制的常见产品能力。</w:t>
      </w:r>
    </w:p>
    <w:p>
      <w:pPr>
        <w:pStyle w:val="ListBullet"/>
        <w:spacing w:after="120" w:line="280" w:lineRule="auto"/>
        <w:ind w:left="720" w:hanging="360"/>
      </w:pPr>
      <w:r>
        <w:rPr>
          <w:rFonts w:ascii="Calibri" w:hAnsi="Calibri" w:eastAsia="宋体"/>
          <w:b/>
          <w:i w:val="0"/>
          <w:color w:val="2E5F8A"/>
          <w:sz w:val="22"/>
        </w:rPr>
        <w:t>温度仍接近研究转化前沿：</w:t>
      </w:r>
      <w:r>
        <w:rPr>
          <w:rFonts w:ascii="Calibri" w:hAnsi="Calibri" w:eastAsia="宋体"/>
          <w:b w:val="0"/>
          <w:i w:val="0"/>
          <w:color w:val="000000"/>
          <w:sz w:val="22"/>
        </w:rPr>
        <w:t>本次扫描未发现代表性成熟商用品将对象温度反馈作为标准功能；与2023—2024年的热感觉研究相比，存在明显转化缺口。</w:t>
      </w:r>
    </w:p>
    <w:p>
      <w:pPr>
        <w:spacing w:before="0" w:after="160" w:line="320" w:lineRule="auto"/>
        <w:ind w:firstLine="440"/>
        <w:jc w:val="both"/>
      </w:pPr>
      <w:r>
        <w:rPr>
          <w:rFonts w:ascii="Calibri" w:hAnsi="Calibri" w:eastAsia="宋体"/>
          <w:b w:val="0"/>
          <w:i w:val="0"/>
          <w:color w:val="000000"/>
          <w:sz w:val="22"/>
        </w:rPr>
        <w:t>因此，本文系统的潜在贡献不应写成单纯“给假手增加更多传感器”，而应表述为：面向姿态、接触关系和对象热状态构建统一的多模态感知数据，并设计可供自动控制、非视觉反馈和实验记录共同使用的信息接口。这样既回应市场缺口，也避免与已有单一压力振动产品做不准确对比。</w:t>
      </w:r>
    </w:p>
    <w:p>
      <w:pPr>
        <w:pStyle w:val="Heading1"/>
        <w:keepNext/>
      </w:pPr>
      <w:r>
        <w:rPr>
          <w:rFonts w:ascii="Calibri" w:hAnsi="Calibri" w:eastAsia="黑体"/>
          <w:b/>
          <w:i w:val="0"/>
          <w:color w:val="2E5F8A"/>
          <w:sz w:val="32"/>
        </w:rPr>
        <w:t>6 系统应具备的感知与反馈能力</w:t>
      </w:r>
    </w:p>
    <w:p>
      <w:pPr>
        <w:pStyle w:val="Heading2"/>
        <w:keepNext/>
      </w:pPr>
      <w:r>
        <w:rPr>
          <w:rFonts w:ascii="Calibri" w:hAnsi="Calibri" w:eastAsia="黑体"/>
          <w:b/>
          <w:i w:val="0"/>
          <w:color w:val="2E5F8A"/>
          <w:sz w:val="26"/>
        </w:rPr>
        <w:t>6.1 功能需求</w:t>
      </w:r>
    </w:p>
    <w:p>
      <w:pPr>
        <w:keepNext/>
        <w:spacing w:before="120" w:after="80"/>
      </w:pPr>
      <w:r>
        <w:rPr>
          <w:rFonts w:ascii="Calibri" w:hAnsi="Calibri" w:eastAsia="宋体"/>
          <w:b/>
          <w:i w:val="0"/>
          <w:color w:val="17365D"/>
          <w:sz w:val="20"/>
        </w:rPr>
        <w:t>表5  由功能缺口推导的系统功能需求</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800"/>
        <w:gridCol w:w="1550"/>
        <w:gridCol w:w="4750"/>
        <w:gridCol w:w="2260"/>
      </w:tblGrid>
      <w:tr>
        <w:trPr>
          <w:cantSplit/>
          <w:tblHeader w:val="true"/>
        </w:trPr>
        <w:tc>
          <w:tcPr>
            <w:tcW w:type="dxa" w:w="8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编号</w:t>
            </w:r>
          </w:p>
        </w:tc>
        <w:tc>
          <w:tcPr>
            <w:tcW w:type="dxa" w:w="15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需求名称</w:t>
            </w:r>
          </w:p>
        </w:tc>
        <w:tc>
          <w:tcPr>
            <w:tcW w:type="dxa" w:w="47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需求表述</w:t>
            </w:r>
          </w:p>
        </w:tc>
        <w:tc>
          <w:tcPr>
            <w:tcW w:type="dxa" w:w="226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论证作用</w:t>
            </w:r>
          </w:p>
        </w:tc>
      </w:tr>
      <w:tr>
        <w:tc>
          <w:tcPr>
            <w:tcW w:type="dxa" w:w="800"/>
            <w:vAlign w:val="center"/>
          </w:tcPr>
          <w:p>
            <w:pPr>
              <w:spacing w:before="0" w:after="40" w:line="259" w:lineRule="auto"/>
              <w:jc w:val="left"/>
            </w:pPr>
            <w:r>
              <w:rPr>
                <w:rFonts w:ascii="Calibri" w:hAnsi="Calibri" w:eastAsia="宋体"/>
                <w:b w:val="0"/>
                <w:i w:val="0"/>
                <w:color w:val="000000"/>
                <w:sz w:val="16"/>
              </w:rPr>
              <w:t>FR-01</w:t>
            </w:r>
          </w:p>
        </w:tc>
        <w:tc>
          <w:tcPr>
            <w:tcW w:type="dxa" w:w="1550"/>
            <w:vAlign w:val="center"/>
          </w:tcPr>
          <w:p>
            <w:pPr>
              <w:spacing w:before="0" w:after="40" w:line="259" w:lineRule="auto"/>
              <w:jc w:val="left"/>
            </w:pPr>
            <w:r>
              <w:rPr>
                <w:rFonts w:ascii="Calibri" w:hAnsi="Calibri" w:eastAsia="宋体"/>
                <w:b w:val="0"/>
                <w:i w:val="0"/>
                <w:color w:val="000000"/>
                <w:sz w:val="16"/>
              </w:rPr>
              <w:t>关节状态采集</w:t>
            </w:r>
          </w:p>
        </w:tc>
        <w:tc>
          <w:tcPr>
            <w:tcW w:type="dxa" w:w="4750"/>
            <w:vAlign w:val="center"/>
          </w:tcPr>
          <w:p>
            <w:pPr>
              <w:spacing w:before="0" w:after="40" w:line="259" w:lineRule="auto"/>
              <w:jc w:val="left"/>
            </w:pPr>
            <w:r>
              <w:rPr>
                <w:rFonts w:ascii="Calibri" w:hAnsi="Calibri" w:eastAsia="宋体"/>
                <w:b w:val="0"/>
                <w:i w:val="0"/>
                <w:color w:val="000000"/>
                <w:sz w:val="16"/>
              </w:rPr>
              <w:t>采集与有效驱动自由度对应的关节角度或可观测位置状态，并可导出手部开度、抓型和运动方向。</w:t>
            </w:r>
          </w:p>
        </w:tc>
        <w:tc>
          <w:tcPr>
            <w:tcW w:type="dxa" w:w="2260"/>
            <w:vAlign w:val="center"/>
          </w:tcPr>
          <w:p>
            <w:pPr>
              <w:spacing w:before="0" w:after="40" w:line="259" w:lineRule="auto"/>
              <w:jc w:val="left"/>
            </w:pPr>
            <w:r>
              <w:rPr>
                <w:rFonts w:ascii="Calibri" w:hAnsi="Calibri" w:eastAsia="宋体"/>
                <w:b w:val="0"/>
                <w:i w:val="0"/>
                <w:color w:val="000000"/>
                <w:sz w:val="16"/>
              </w:rPr>
              <w:t>覆盖本体状态缺口</w:t>
            </w:r>
          </w:p>
        </w:tc>
      </w:tr>
      <w:tr>
        <w:tc>
          <w:tcPr>
            <w:tcW w:type="dxa" w:w="800"/>
            <w:vAlign w:val="center"/>
          </w:tcPr>
          <w:p>
            <w:pPr>
              <w:spacing w:before="0" w:after="40" w:line="259" w:lineRule="auto"/>
              <w:jc w:val="left"/>
            </w:pPr>
            <w:r>
              <w:rPr>
                <w:rFonts w:ascii="Calibri" w:hAnsi="Calibri" w:eastAsia="宋体"/>
                <w:b w:val="0"/>
                <w:i w:val="0"/>
                <w:color w:val="000000"/>
                <w:sz w:val="16"/>
              </w:rPr>
              <w:t>FR-02</w:t>
            </w:r>
          </w:p>
        </w:tc>
        <w:tc>
          <w:tcPr>
            <w:tcW w:type="dxa" w:w="1550"/>
            <w:vAlign w:val="center"/>
          </w:tcPr>
          <w:p>
            <w:pPr>
              <w:spacing w:before="0" w:after="40" w:line="259" w:lineRule="auto"/>
              <w:jc w:val="left"/>
            </w:pPr>
            <w:r>
              <w:rPr>
                <w:rFonts w:ascii="Calibri" w:hAnsi="Calibri" w:eastAsia="宋体"/>
                <w:b w:val="0"/>
                <w:i w:val="0"/>
                <w:color w:val="000000"/>
                <w:sz w:val="16"/>
              </w:rPr>
              <w:t>多指三维力采集</w:t>
            </w:r>
          </w:p>
        </w:tc>
        <w:tc>
          <w:tcPr>
            <w:tcW w:type="dxa" w:w="4750"/>
            <w:vAlign w:val="center"/>
          </w:tcPr>
          <w:p>
            <w:pPr>
              <w:spacing w:before="0" w:after="40" w:line="259" w:lineRule="auto"/>
              <w:jc w:val="left"/>
            </w:pPr>
            <w:r>
              <w:rPr>
                <w:rFonts w:ascii="Calibri" w:hAnsi="Calibri" w:eastAsia="宋体"/>
                <w:b w:val="0"/>
                <w:i w:val="0"/>
                <w:color w:val="000000"/>
                <w:sz w:val="16"/>
              </w:rPr>
              <w:t>至少在关键接触指端同时获得法向和两个切向分量，保留方向和动态变化。</w:t>
            </w:r>
          </w:p>
        </w:tc>
        <w:tc>
          <w:tcPr>
            <w:tcW w:type="dxa" w:w="2260"/>
            <w:vAlign w:val="center"/>
          </w:tcPr>
          <w:p>
            <w:pPr>
              <w:spacing w:before="0" w:after="40" w:line="259" w:lineRule="auto"/>
              <w:jc w:val="left"/>
            </w:pPr>
            <w:r>
              <w:rPr>
                <w:rFonts w:ascii="Calibri" w:hAnsi="Calibri" w:eastAsia="宋体"/>
                <w:b w:val="0"/>
                <w:i w:val="0"/>
                <w:color w:val="000000"/>
                <w:sz w:val="16"/>
              </w:rPr>
              <w:t>覆盖压力、载荷和滑移信息</w:t>
            </w:r>
          </w:p>
        </w:tc>
      </w:tr>
      <w:tr>
        <w:tc>
          <w:tcPr>
            <w:tcW w:type="dxa" w:w="800"/>
            <w:vAlign w:val="center"/>
          </w:tcPr>
          <w:p>
            <w:pPr>
              <w:spacing w:before="0" w:after="40" w:line="259" w:lineRule="auto"/>
              <w:jc w:val="left"/>
            </w:pPr>
            <w:r>
              <w:rPr>
                <w:rFonts w:ascii="Calibri" w:hAnsi="Calibri" w:eastAsia="宋体"/>
                <w:b w:val="0"/>
                <w:i w:val="0"/>
                <w:color w:val="000000"/>
                <w:sz w:val="16"/>
              </w:rPr>
              <w:t>FR-03</w:t>
            </w:r>
          </w:p>
        </w:tc>
        <w:tc>
          <w:tcPr>
            <w:tcW w:type="dxa" w:w="1550"/>
            <w:vAlign w:val="center"/>
          </w:tcPr>
          <w:p>
            <w:pPr>
              <w:spacing w:before="0" w:after="40" w:line="259" w:lineRule="auto"/>
              <w:jc w:val="left"/>
            </w:pPr>
            <w:r>
              <w:rPr>
                <w:rFonts w:ascii="Calibri" w:hAnsi="Calibri" w:eastAsia="宋体"/>
                <w:b w:val="0"/>
                <w:i w:val="0"/>
                <w:color w:val="000000"/>
                <w:sz w:val="16"/>
              </w:rPr>
              <w:t>温度采集</w:t>
            </w:r>
          </w:p>
        </w:tc>
        <w:tc>
          <w:tcPr>
            <w:tcW w:type="dxa" w:w="4750"/>
            <w:vAlign w:val="center"/>
          </w:tcPr>
          <w:p>
            <w:pPr>
              <w:spacing w:before="0" w:after="40" w:line="259" w:lineRule="auto"/>
              <w:jc w:val="left"/>
            </w:pPr>
            <w:r>
              <w:rPr>
                <w:rFonts w:ascii="Calibri" w:hAnsi="Calibri" w:eastAsia="宋体"/>
                <w:b w:val="0"/>
                <w:i w:val="0"/>
                <w:color w:val="000000"/>
                <w:sz w:val="16"/>
              </w:rPr>
              <w:t>在指端接触区域测量对象温度或热交换特征，支持冷/正常/热/危险等状态判别。</w:t>
            </w:r>
          </w:p>
        </w:tc>
        <w:tc>
          <w:tcPr>
            <w:tcW w:type="dxa" w:w="2260"/>
            <w:vAlign w:val="center"/>
          </w:tcPr>
          <w:p>
            <w:pPr>
              <w:spacing w:before="0" w:after="40" w:line="259" w:lineRule="auto"/>
              <w:jc w:val="left"/>
            </w:pPr>
            <w:r>
              <w:rPr>
                <w:rFonts w:ascii="Calibri" w:hAnsi="Calibri" w:eastAsia="宋体"/>
                <w:b w:val="0"/>
                <w:i w:val="0"/>
                <w:color w:val="000000"/>
                <w:sz w:val="16"/>
              </w:rPr>
              <w:t>覆盖不可视热状态</w:t>
            </w:r>
          </w:p>
        </w:tc>
      </w:tr>
      <w:tr>
        <w:tc>
          <w:tcPr>
            <w:tcW w:type="dxa" w:w="800"/>
            <w:vAlign w:val="center"/>
          </w:tcPr>
          <w:p>
            <w:pPr>
              <w:spacing w:before="0" w:after="40" w:line="259" w:lineRule="auto"/>
              <w:jc w:val="left"/>
            </w:pPr>
            <w:r>
              <w:rPr>
                <w:rFonts w:ascii="Calibri" w:hAnsi="Calibri" w:eastAsia="宋体"/>
                <w:b w:val="0"/>
                <w:i w:val="0"/>
                <w:color w:val="000000"/>
                <w:sz w:val="16"/>
              </w:rPr>
              <w:t>FR-04</w:t>
            </w:r>
          </w:p>
        </w:tc>
        <w:tc>
          <w:tcPr>
            <w:tcW w:type="dxa" w:w="1550"/>
            <w:vAlign w:val="center"/>
          </w:tcPr>
          <w:p>
            <w:pPr>
              <w:spacing w:before="0" w:after="40" w:line="259" w:lineRule="auto"/>
              <w:jc w:val="left"/>
            </w:pPr>
            <w:r>
              <w:rPr>
                <w:rFonts w:ascii="Calibri" w:hAnsi="Calibri" w:eastAsia="宋体"/>
                <w:b w:val="0"/>
                <w:i w:val="0"/>
                <w:color w:val="000000"/>
                <w:sz w:val="16"/>
              </w:rPr>
              <w:t>接触与事件检测</w:t>
            </w:r>
          </w:p>
        </w:tc>
        <w:tc>
          <w:tcPr>
            <w:tcW w:type="dxa" w:w="4750"/>
            <w:vAlign w:val="center"/>
          </w:tcPr>
          <w:p>
            <w:pPr>
              <w:spacing w:before="0" w:after="40" w:line="259" w:lineRule="auto"/>
              <w:jc w:val="left"/>
            </w:pPr>
            <w:r>
              <w:rPr>
                <w:rFonts w:ascii="Calibri" w:hAnsi="Calibri" w:eastAsia="宋体"/>
                <w:b w:val="0"/>
                <w:i w:val="0"/>
                <w:color w:val="000000"/>
                <w:sz w:val="16"/>
              </w:rPr>
              <w:t>从原始信号提取接触、释放、运动到位、受阻、滑移风险和热风险等事件。</w:t>
            </w:r>
          </w:p>
        </w:tc>
        <w:tc>
          <w:tcPr>
            <w:tcW w:type="dxa" w:w="2260"/>
            <w:vAlign w:val="center"/>
          </w:tcPr>
          <w:p>
            <w:pPr>
              <w:spacing w:before="0" w:after="40" w:line="259" w:lineRule="auto"/>
              <w:jc w:val="left"/>
            </w:pPr>
            <w:r>
              <w:rPr>
                <w:rFonts w:ascii="Calibri" w:hAnsi="Calibri" w:eastAsia="宋体"/>
                <w:b w:val="0"/>
                <w:i w:val="0"/>
                <w:color w:val="000000"/>
                <w:sz w:val="16"/>
              </w:rPr>
              <w:t>降低用户需要解释原始数据的负担</w:t>
            </w:r>
          </w:p>
        </w:tc>
      </w:tr>
      <w:tr>
        <w:tc>
          <w:tcPr>
            <w:tcW w:type="dxa" w:w="800"/>
            <w:vAlign w:val="center"/>
          </w:tcPr>
          <w:p>
            <w:pPr>
              <w:spacing w:before="0" w:after="40" w:line="259" w:lineRule="auto"/>
              <w:jc w:val="left"/>
            </w:pPr>
            <w:r>
              <w:rPr>
                <w:rFonts w:ascii="Calibri" w:hAnsi="Calibri" w:eastAsia="宋体"/>
                <w:b w:val="0"/>
                <w:i w:val="0"/>
                <w:color w:val="000000"/>
                <w:sz w:val="16"/>
              </w:rPr>
              <w:t>FR-05</w:t>
            </w:r>
          </w:p>
        </w:tc>
        <w:tc>
          <w:tcPr>
            <w:tcW w:type="dxa" w:w="1550"/>
            <w:vAlign w:val="center"/>
          </w:tcPr>
          <w:p>
            <w:pPr>
              <w:spacing w:before="0" w:after="40" w:line="259" w:lineRule="auto"/>
              <w:jc w:val="left"/>
            </w:pPr>
            <w:r>
              <w:rPr>
                <w:rFonts w:ascii="Calibri" w:hAnsi="Calibri" w:eastAsia="宋体"/>
                <w:b w:val="0"/>
                <w:i w:val="0"/>
                <w:color w:val="000000"/>
                <w:sz w:val="16"/>
              </w:rPr>
              <w:t>自动控制接口</w:t>
            </w:r>
          </w:p>
        </w:tc>
        <w:tc>
          <w:tcPr>
            <w:tcW w:type="dxa" w:w="4750"/>
            <w:vAlign w:val="center"/>
          </w:tcPr>
          <w:p>
            <w:pPr>
              <w:spacing w:before="0" w:after="40" w:line="259" w:lineRule="auto"/>
              <w:jc w:val="left"/>
            </w:pPr>
            <w:r>
              <w:rPr>
                <w:rFonts w:ascii="Calibri" w:hAnsi="Calibri" w:eastAsia="宋体"/>
                <w:b w:val="0"/>
                <w:i w:val="0"/>
                <w:color w:val="000000"/>
                <w:sz w:val="16"/>
              </w:rPr>
              <w:t>为握力调节、防滑、过载保护和热危险撤回等局部闭环提供标准化输入。</w:t>
            </w:r>
          </w:p>
        </w:tc>
        <w:tc>
          <w:tcPr>
            <w:tcW w:type="dxa" w:w="2260"/>
            <w:vAlign w:val="center"/>
          </w:tcPr>
          <w:p>
            <w:pPr>
              <w:spacing w:before="0" w:after="40" w:line="259" w:lineRule="auto"/>
              <w:jc w:val="left"/>
            </w:pPr>
            <w:r>
              <w:rPr>
                <w:rFonts w:ascii="Calibri" w:hAnsi="Calibri" w:eastAsia="宋体"/>
                <w:b w:val="0"/>
                <w:i w:val="0"/>
                <w:color w:val="000000"/>
                <w:sz w:val="16"/>
              </w:rPr>
              <w:t>缩短低层反应链路</w:t>
            </w:r>
          </w:p>
        </w:tc>
      </w:tr>
      <w:tr>
        <w:tc>
          <w:tcPr>
            <w:tcW w:type="dxa" w:w="800"/>
            <w:vAlign w:val="center"/>
          </w:tcPr>
          <w:p>
            <w:pPr>
              <w:spacing w:before="0" w:after="40" w:line="259" w:lineRule="auto"/>
              <w:jc w:val="left"/>
            </w:pPr>
            <w:r>
              <w:rPr>
                <w:rFonts w:ascii="Calibri" w:hAnsi="Calibri" w:eastAsia="宋体"/>
                <w:b w:val="0"/>
                <w:i w:val="0"/>
                <w:color w:val="000000"/>
                <w:sz w:val="16"/>
              </w:rPr>
              <w:t>FR-06</w:t>
            </w:r>
          </w:p>
        </w:tc>
        <w:tc>
          <w:tcPr>
            <w:tcW w:type="dxa" w:w="1550"/>
            <w:vAlign w:val="center"/>
          </w:tcPr>
          <w:p>
            <w:pPr>
              <w:spacing w:before="0" w:after="40" w:line="259" w:lineRule="auto"/>
              <w:jc w:val="left"/>
            </w:pPr>
            <w:r>
              <w:rPr>
                <w:rFonts w:ascii="Calibri" w:hAnsi="Calibri" w:eastAsia="宋体"/>
                <w:b w:val="0"/>
                <w:i w:val="0"/>
                <w:color w:val="000000"/>
                <w:sz w:val="16"/>
              </w:rPr>
              <w:t>用户反馈接口</w:t>
            </w:r>
          </w:p>
        </w:tc>
        <w:tc>
          <w:tcPr>
            <w:tcW w:type="dxa" w:w="4750"/>
            <w:vAlign w:val="center"/>
          </w:tcPr>
          <w:p>
            <w:pPr>
              <w:spacing w:before="0" w:after="40" w:line="259" w:lineRule="auto"/>
              <w:jc w:val="left"/>
            </w:pPr>
            <w:r>
              <w:rPr>
                <w:rFonts w:ascii="Calibri" w:hAnsi="Calibri" w:eastAsia="宋体"/>
                <w:b w:val="0"/>
                <w:i w:val="0"/>
                <w:color w:val="000000"/>
                <w:sz w:val="16"/>
              </w:rPr>
              <w:t>将手部开度/构型、力等级/方向、滑移和温度等级映射为非视觉反馈，不要求直接呈现全部原始值。</w:t>
            </w:r>
          </w:p>
        </w:tc>
        <w:tc>
          <w:tcPr>
            <w:tcW w:type="dxa" w:w="2260"/>
            <w:vAlign w:val="center"/>
          </w:tcPr>
          <w:p>
            <w:pPr>
              <w:spacing w:before="0" w:after="40" w:line="259" w:lineRule="auto"/>
              <w:jc w:val="left"/>
            </w:pPr>
            <w:r>
              <w:rPr>
                <w:rFonts w:ascii="Calibri" w:hAnsi="Calibri" w:eastAsia="宋体"/>
                <w:b w:val="0"/>
                <w:i w:val="0"/>
                <w:color w:val="000000"/>
                <w:sz w:val="16"/>
              </w:rPr>
              <w:t>支持人工感觉替代</w:t>
            </w:r>
          </w:p>
        </w:tc>
      </w:tr>
      <w:tr>
        <w:tc>
          <w:tcPr>
            <w:tcW w:type="dxa" w:w="800"/>
            <w:vAlign w:val="center"/>
          </w:tcPr>
          <w:p>
            <w:pPr>
              <w:spacing w:before="0" w:after="40" w:line="259" w:lineRule="auto"/>
              <w:jc w:val="left"/>
            </w:pPr>
            <w:r>
              <w:rPr>
                <w:rFonts w:ascii="Calibri" w:hAnsi="Calibri" w:eastAsia="宋体"/>
                <w:b w:val="0"/>
                <w:i w:val="0"/>
                <w:color w:val="000000"/>
                <w:sz w:val="16"/>
              </w:rPr>
              <w:t>FR-07</w:t>
            </w:r>
          </w:p>
        </w:tc>
        <w:tc>
          <w:tcPr>
            <w:tcW w:type="dxa" w:w="1550"/>
            <w:vAlign w:val="center"/>
          </w:tcPr>
          <w:p>
            <w:pPr>
              <w:spacing w:before="0" w:after="40" w:line="259" w:lineRule="auto"/>
              <w:jc w:val="left"/>
            </w:pPr>
            <w:r>
              <w:rPr>
                <w:rFonts w:ascii="Calibri" w:hAnsi="Calibri" w:eastAsia="宋体"/>
                <w:b w:val="0"/>
                <w:i w:val="0"/>
                <w:color w:val="000000"/>
                <w:sz w:val="16"/>
              </w:rPr>
              <w:t>优先级管理</w:t>
            </w:r>
          </w:p>
        </w:tc>
        <w:tc>
          <w:tcPr>
            <w:tcW w:type="dxa" w:w="4750"/>
            <w:vAlign w:val="center"/>
          </w:tcPr>
          <w:p>
            <w:pPr>
              <w:spacing w:before="0" w:after="40" w:line="259" w:lineRule="auto"/>
              <w:jc w:val="left"/>
            </w:pPr>
            <w:r>
              <w:rPr>
                <w:rFonts w:ascii="Calibri" w:hAnsi="Calibri" w:eastAsia="宋体"/>
                <w:b w:val="0"/>
                <w:i w:val="0"/>
                <w:color w:val="000000"/>
                <w:sz w:val="16"/>
              </w:rPr>
              <w:t>危险温度、明显滑移和过载事件优先于连续状态反馈，并能抑制重复无效告警。</w:t>
            </w:r>
          </w:p>
        </w:tc>
        <w:tc>
          <w:tcPr>
            <w:tcW w:type="dxa" w:w="2260"/>
            <w:vAlign w:val="center"/>
          </w:tcPr>
          <w:p>
            <w:pPr>
              <w:spacing w:before="0" w:after="40" w:line="259" w:lineRule="auto"/>
              <w:jc w:val="left"/>
            </w:pPr>
            <w:r>
              <w:rPr>
                <w:rFonts w:ascii="Calibri" w:hAnsi="Calibri" w:eastAsia="宋体"/>
                <w:b w:val="0"/>
                <w:i w:val="0"/>
                <w:color w:val="000000"/>
                <w:sz w:val="16"/>
              </w:rPr>
              <w:t>避免多模态冲突</w:t>
            </w:r>
          </w:p>
        </w:tc>
      </w:tr>
      <w:tr>
        <w:tc>
          <w:tcPr>
            <w:tcW w:type="dxa" w:w="800"/>
            <w:vAlign w:val="center"/>
          </w:tcPr>
          <w:p>
            <w:pPr>
              <w:spacing w:before="0" w:after="40" w:line="259" w:lineRule="auto"/>
              <w:jc w:val="left"/>
            </w:pPr>
            <w:r>
              <w:rPr>
                <w:rFonts w:ascii="Calibri" w:hAnsi="Calibri" w:eastAsia="宋体"/>
                <w:b w:val="0"/>
                <w:i w:val="0"/>
                <w:color w:val="000000"/>
                <w:sz w:val="16"/>
              </w:rPr>
              <w:t>FR-08</w:t>
            </w:r>
          </w:p>
        </w:tc>
        <w:tc>
          <w:tcPr>
            <w:tcW w:type="dxa" w:w="1550"/>
            <w:vAlign w:val="center"/>
          </w:tcPr>
          <w:p>
            <w:pPr>
              <w:spacing w:before="0" w:after="40" w:line="259" w:lineRule="auto"/>
              <w:jc w:val="left"/>
            </w:pPr>
            <w:r>
              <w:rPr>
                <w:rFonts w:ascii="Calibri" w:hAnsi="Calibri" w:eastAsia="宋体"/>
                <w:b w:val="0"/>
                <w:i w:val="0"/>
                <w:color w:val="000000"/>
                <w:sz w:val="16"/>
              </w:rPr>
              <w:t>模式与参数个性化</w:t>
            </w:r>
          </w:p>
        </w:tc>
        <w:tc>
          <w:tcPr>
            <w:tcW w:type="dxa" w:w="4750"/>
            <w:vAlign w:val="center"/>
          </w:tcPr>
          <w:p>
            <w:pPr>
              <w:spacing w:before="0" w:after="40" w:line="259" w:lineRule="auto"/>
              <w:jc w:val="left"/>
            </w:pPr>
            <w:r>
              <w:rPr>
                <w:rFonts w:ascii="Calibri" w:hAnsi="Calibri" w:eastAsia="宋体"/>
                <w:b w:val="0"/>
                <w:i w:val="0"/>
                <w:color w:val="000000"/>
                <w:sz w:val="16"/>
              </w:rPr>
              <w:t>允许按受试者感觉阈值调整刺激强度、等级数、空间映射和启停模态。</w:t>
            </w:r>
          </w:p>
        </w:tc>
        <w:tc>
          <w:tcPr>
            <w:tcW w:type="dxa" w:w="2260"/>
            <w:vAlign w:val="center"/>
          </w:tcPr>
          <w:p>
            <w:pPr>
              <w:spacing w:before="0" w:after="40" w:line="259" w:lineRule="auto"/>
              <w:jc w:val="left"/>
            </w:pPr>
            <w:r>
              <w:rPr>
                <w:rFonts w:ascii="Calibri" w:hAnsi="Calibri" w:eastAsia="宋体"/>
                <w:b w:val="0"/>
                <w:i w:val="0"/>
                <w:color w:val="000000"/>
                <w:sz w:val="16"/>
              </w:rPr>
              <w:t>适配残肢差异和学习差异</w:t>
            </w:r>
          </w:p>
        </w:tc>
      </w:tr>
      <w:tr>
        <w:tc>
          <w:tcPr>
            <w:tcW w:type="dxa" w:w="800"/>
            <w:vAlign w:val="center"/>
          </w:tcPr>
          <w:p>
            <w:pPr>
              <w:spacing w:before="0" w:after="40" w:line="259" w:lineRule="auto"/>
              <w:jc w:val="left"/>
            </w:pPr>
            <w:r>
              <w:rPr>
                <w:rFonts w:ascii="Calibri" w:hAnsi="Calibri" w:eastAsia="宋体"/>
                <w:b w:val="0"/>
                <w:i w:val="0"/>
                <w:color w:val="000000"/>
                <w:sz w:val="16"/>
              </w:rPr>
              <w:t>FR-09</w:t>
            </w:r>
          </w:p>
        </w:tc>
        <w:tc>
          <w:tcPr>
            <w:tcW w:type="dxa" w:w="1550"/>
            <w:vAlign w:val="center"/>
          </w:tcPr>
          <w:p>
            <w:pPr>
              <w:spacing w:before="0" w:after="40" w:line="259" w:lineRule="auto"/>
              <w:jc w:val="left"/>
            </w:pPr>
            <w:r>
              <w:rPr>
                <w:rFonts w:ascii="Calibri" w:hAnsi="Calibri" w:eastAsia="宋体"/>
                <w:b w:val="0"/>
                <w:i w:val="0"/>
                <w:color w:val="000000"/>
                <w:sz w:val="16"/>
              </w:rPr>
              <w:t>实验消融与记录</w:t>
            </w:r>
          </w:p>
        </w:tc>
        <w:tc>
          <w:tcPr>
            <w:tcW w:type="dxa" w:w="4750"/>
            <w:vAlign w:val="center"/>
          </w:tcPr>
          <w:p>
            <w:pPr>
              <w:spacing w:before="0" w:after="40" w:line="259" w:lineRule="auto"/>
              <w:jc w:val="left"/>
            </w:pPr>
            <w:r>
              <w:rPr>
                <w:rFonts w:ascii="Calibri" w:hAnsi="Calibri" w:eastAsia="宋体"/>
                <w:b w:val="0"/>
                <w:i w:val="0"/>
                <w:color w:val="000000"/>
                <w:sz w:val="16"/>
              </w:rPr>
              <w:t>能够独立开启/关闭角度、力和温度反馈，同时记录原始传感、反馈事件、控制命令和时间戳。</w:t>
            </w:r>
          </w:p>
        </w:tc>
        <w:tc>
          <w:tcPr>
            <w:tcW w:type="dxa" w:w="2260"/>
            <w:vAlign w:val="center"/>
          </w:tcPr>
          <w:p>
            <w:pPr>
              <w:spacing w:before="0" w:after="40" w:line="259" w:lineRule="auto"/>
              <w:jc w:val="left"/>
            </w:pPr>
            <w:r>
              <w:rPr>
                <w:rFonts w:ascii="Calibri" w:hAnsi="Calibri" w:eastAsia="宋体"/>
                <w:b w:val="0"/>
                <w:i w:val="0"/>
                <w:color w:val="000000"/>
                <w:sz w:val="16"/>
              </w:rPr>
              <w:t>支持因果比较</w:t>
            </w:r>
          </w:p>
        </w:tc>
      </w:tr>
      <w:tr>
        <w:tc>
          <w:tcPr>
            <w:tcW w:type="dxa" w:w="800"/>
            <w:vAlign w:val="center"/>
          </w:tcPr>
          <w:p>
            <w:pPr>
              <w:spacing w:before="0" w:after="40" w:line="259" w:lineRule="auto"/>
              <w:jc w:val="left"/>
            </w:pPr>
            <w:r>
              <w:rPr>
                <w:rFonts w:ascii="Calibri" w:hAnsi="Calibri" w:eastAsia="宋体"/>
                <w:b w:val="0"/>
                <w:i w:val="0"/>
                <w:color w:val="000000"/>
                <w:sz w:val="16"/>
              </w:rPr>
              <w:t>FR-10</w:t>
            </w:r>
          </w:p>
        </w:tc>
        <w:tc>
          <w:tcPr>
            <w:tcW w:type="dxa" w:w="1550"/>
            <w:vAlign w:val="center"/>
          </w:tcPr>
          <w:p>
            <w:pPr>
              <w:spacing w:before="0" w:after="40" w:line="259" w:lineRule="auto"/>
              <w:jc w:val="left"/>
            </w:pPr>
            <w:r>
              <w:rPr>
                <w:rFonts w:ascii="Calibri" w:hAnsi="Calibri" w:eastAsia="宋体"/>
                <w:b w:val="0"/>
                <w:i w:val="0"/>
                <w:color w:val="000000"/>
                <w:sz w:val="16"/>
              </w:rPr>
              <w:t>故障与降级</w:t>
            </w:r>
          </w:p>
        </w:tc>
        <w:tc>
          <w:tcPr>
            <w:tcW w:type="dxa" w:w="4750"/>
            <w:vAlign w:val="center"/>
          </w:tcPr>
          <w:p>
            <w:pPr>
              <w:spacing w:before="0" w:after="40" w:line="259" w:lineRule="auto"/>
              <w:jc w:val="left"/>
            </w:pPr>
            <w:r>
              <w:rPr>
                <w:rFonts w:ascii="Calibri" w:hAnsi="Calibri" w:eastAsia="宋体"/>
                <w:b w:val="0"/>
                <w:i w:val="0"/>
                <w:color w:val="000000"/>
                <w:sz w:val="16"/>
              </w:rPr>
              <w:t>传感异常、通信中断或反馈装置失效时，进入可识别的安全状态并保留基本控制。</w:t>
            </w:r>
          </w:p>
        </w:tc>
        <w:tc>
          <w:tcPr>
            <w:tcW w:type="dxa" w:w="2260"/>
            <w:vAlign w:val="center"/>
          </w:tcPr>
          <w:p>
            <w:pPr>
              <w:spacing w:before="0" w:after="40" w:line="259" w:lineRule="auto"/>
              <w:jc w:val="left"/>
            </w:pPr>
            <w:r>
              <w:rPr>
                <w:rFonts w:ascii="Calibri" w:hAnsi="Calibri" w:eastAsia="宋体"/>
                <w:b w:val="0"/>
                <w:i w:val="0"/>
                <w:color w:val="000000"/>
                <w:sz w:val="16"/>
              </w:rPr>
              <w:t>保证真人实验安全</w:t>
            </w:r>
          </w:p>
        </w:tc>
      </w:tr>
    </w:tbl>
    <w:p>
      <w:pPr>
        <w:spacing w:before="80" w:after="120"/>
      </w:pPr>
      <w:r>
        <w:rPr>
          <w:rFonts w:ascii="Calibri" w:hAnsi="Calibri" w:eastAsia="宋体"/>
          <w:b w:val="0"/>
          <w:i/>
          <w:color w:val="667085"/>
          <w:sz w:val="17"/>
        </w:rPr>
        <w:t>需求表述采用“系统应能……”的可验证形式；具体精度、采样率和延迟阈值应结合硬件与预实验进一步量化。</w:t>
      </w:r>
    </w:p>
    <w:p>
      <w:pPr>
        <w:pStyle w:val="Heading2"/>
        <w:keepNext/>
      </w:pPr>
      <w:r>
        <w:rPr>
          <w:rFonts w:ascii="Calibri" w:hAnsi="Calibri" w:eastAsia="黑体"/>
          <w:b/>
          <w:i w:val="0"/>
          <w:color w:val="2E5F8A"/>
          <w:sz w:val="26"/>
        </w:rPr>
        <w:t>6.2 非功能与人因需求</w:t>
      </w:r>
    </w:p>
    <w:p>
      <w:pPr>
        <w:pStyle w:val="ListBullet"/>
        <w:spacing w:after="120" w:line="280" w:lineRule="auto"/>
        <w:ind w:left="720" w:hanging="360"/>
      </w:pPr>
      <w:r>
        <w:rPr>
          <w:rFonts w:ascii="Calibri" w:hAnsi="Calibri" w:eastAsia="宋体"/>
          <w:b/>
          <w:i w:val="0"/>
          <w:color w:val="2E5F8A"/>
          <w:sz w:val="22"/>
        </w:rPr>
        <w:t>实时性：</w:t>
      </w:r>
      <w:r>
        <w:rPr>
          <w:rFonts w:ascii="Calibri" w:hAnsi="Calibri" w:eastAsia="宋体"/>
          <w:b w:val="0"/>
          <w:i w:val="0"/>
          <w:color w:val="000000"/>
          <w:sz w:val="22"/>
        </w:rPr>
        <w:t>反馈延迟和抖动应可测量；接触、滑移和热危险事件应优先保证及时性。</w:t>
      </w:r>
    </w:p>
    <w:p>
      <w:pPr>
        <w:pStyle w:val="ListBullet"/>
        <w:spacing w:after="120" w:line="280" w:lineRule="auto"/>
        <w:ind w:left="720" w:hanging="360"/>
      </w:pPr>
      <w:r>
        <w:rPr>
          <w:rFonts w:ascii="Calibri" w:hAnsi="Calibri" w:eastAsia="宋体"/>
          <w:b/>
          <w:i w:val="0"/>
          <w:color w:val="2E5F8A"/>
          <w:sz w:val="22"/>
        </w:rPr>
        <w:t>可辨识性：</w:t>
      </w:r>
      <w:r>
        <w:rPr>
          <w:rFonts w:ascii="Calibri" w:hAnsi="Calibri" w:eastAsia="宋体"/>
          <w:b w:val="0"/>
          <w:i w:val="0"/>
          <w:color w:val="000000"/>
          <w:sz w:val="22"/>
        </w:rPr>
        <w:t>不同模态和等级在个体阈值以上可稳定区分，避免多个编码共享过于相近的刺激模式。</w:t>
      </w:r>
    </w:p>
    <w:p>
      <w:pPr>
        <w:pStyle w:val="ListBullet"/>
        <w:spacing w:after="120" w:line="280" w:lineRule="auto"/>
        <w:ind w:left="720" w:hanging="360"/>
      </w:pPr>
      <w:r>
        <w:rPr>
          <w:rFonts w:ascii="Calibri" w:hAnsi="Calibri" w:eastAsia="宋体"/>
          <w:b/>
          <w:i w:val="0"/>
          <w:color w:val="2E5F8A"/>
          <w:sz w:val="22"/>
        </w:rPr>
        <w:t>低视觉占用：</w:t>
      </w:r>
      <w:r>
        <w:rPr>
          <w:rFonts w:ascii="Calibri" w:hAnsi="Calibri" w:eastAsia="宋体"/>
          <w:b w:val="0"/>
          <w:i w:val="0"/>
          <w:color w:val="000000"/>
          <w:sz w:val="22"/>
        </w:rPr>
        <w:t>主要操作反馈不依赖持续观看屏幕或指示灯；视觉界面可保留用于训练、标定和故障诊断。</w:t>
      </w:r>
    </w:p>
    <w:p>
      <w:pPr>
        <w:pStyle w:val="ListBullet"/>
        <w:spacing w:after="120" w:line="280" w:lineRule="auto"/>
        <w:ind w:left="720" w:hanging="360"/>
      </w:pPr>
      <w:r>
        <w:rPr>
          <w:rFonts w:ascii="Calibri" w:hAnsi="Calibri" w:eastAsia="宋体"/>
          <w:b/>
          <w:i w:val="0"/>
          <w:color w:val="2E5F8A"/>
          <w:sz w:val="22"/>
        </w:rPr>
        <w:t>低认知负担：</w:t>
      </w:r>
      <w:r>
        <w:rPr>
          <w:rFonts w:ascii="Calibri" w:hAnsi="Calibri" w:eastAsia="宋体"/>
          <w:b w:val="0"/>
          <w:i w:val="0"/>
          <w:color w:val="000000"/>
          <w:sz w:val="22"/>
        </w:rPr>
        <w:t>优先反馈任务状态和事件，不持续堆叠所有关节和传感器数值；允许使用者关闭收益较低的通道。</w:t>
      </w:r>
    </w:p>
    <w:p>
      <w:pPr>
        <w:pStyle w:val="ListBullet"/>
        <w:spacing w:after="120" w:line="280" w:lineRule="auto"/>
        <w:ind w:left="720" w:hanging="360"/>
      </w:pPr>
      <w:r>
        <w:rPr>
          <w:rFonts w:ascii="Calibri" w:hAnsi="Calibri" w:eastAsia="宋体"/>
          <w:b/>
          <w:i w:val="0"/>
          <w:color w:val="2E5F8A"/>
          <w:sz w:val="22"/>
        </w:rPr>
        <w:t>控制兼容性：</w:t>
      </w:r>
      <w:r>
        <w:rPr>
          <w:rFonts w:ascii="Calibri" w:hAnsi="Calibri" w:eastAsia="宋体"/>
          <w:b w:val="0"/>
          <w:i w:val="0"/>
          <w:color w:val="000000"/>
          <w:sz w:val="22"/>
        </w:rPr>
        <w:t>反馈执行器不应明显污染表面肌电信号、妨碍佩戴或改变假手基本机械性能。</w:t>
      </w:r>
    </w:p>
    <w:p>
      <w:pPr>
        <w:pStyle w:val="ListBullet"/>
        <w:spacing w:after="120" w:line="280" w:lineRule="auto"/>
        <w:ind w:left="720" w:hanging="360"/>
      </w:pPr>
      <w:r>
        <w:rPr>
          <w:rFonts w:ascii="Calibri" w:hAnsi="Calibri" w:eastAsia="宋体"/>
          <w:b/>
          <w:i w:val="0"/>
          <w:color w:val="2E5F8A"/>
          <w:sz w:val="22"/>
        </w:rPr>
        <w:t>安全性：</w:t>
      </w:r>
      <w:r>
        <w:rPr>
          <w:rFonts w:ascii="Calibri" w:hAnsi="Calibri" w:eastAsia="宋体"/>
          <w:b w:val="0"/>
          <w:i w:val="0"/>
          <w:color w:val="000000"/>
          <w:sz w:val="22"/>
        </w:rPr>
        <w:t>刺激强度、温度范围、皮肤接触、紧急停止和热源实验必须纳入伦理与风险控制。</w:t>
      </w:r>
    </w:p>
    <w:p>
      <w:pPr>
        <w:pStyle w:val="ListBullet"/>
        <w:spacing w:after="120" w:line="280" w:lineRule="auto"/>
        <w:ind w:left="720" w:hanging="360"/>
      </w:pPr>
      <w:r>
        <w:rPr>
          <w:rFonts w:ascii="Calibri" w:hAnsi="Calibri" w:eastAsia="宋体"/>
          <w:b/>
          <w:i w:val="0"/>
          <w:color w:val="2E5F8A"/>
          <w:sz w:val="22"/>
        </w:rPr>
        <w:t>可追溯性：</w:t>
      </w:r>
      <w:r>
        <w:rPr>
          <w:rFonts w:ascii="Calibri" w:hAnsi="Calibri" w:eastAsia="宋体"/>
          <w:b w:val="0"/>
          <w:i w:val="0"/>
          <w:color w:val="000000"/>
          <w:sz w:val="22"/>
        </w:rPr>
        <w:t>传感器标定、映射参数、软件版本和每名受试者配置应完整记录，以便重复实验。</w:t>
      </w:r>
    </w:p>
    <w:p>
      <w:pPr>
        <w:pStyle w:val="Heading2"/>
        <w:keepNext/>
      </w:pPr>
      <w:r>
        <w:rPr>
          <w:rFonts w:ascii="Calibri" w:hAnsi="Calibri" w:eastAsia="黑体"/>
          <w:b/>
          <w:i w:val="0"/>
          <w:color w:val="2E5F8A"/>
          <w:sz w:val="26"/>
        </w:rPr>
        <w:t>6.3 推荐的信息压缩与反馈分工</w:t>
      </w:r>
    </w:p>
    <w:p>
      <w:pPr>
        <w:keepNext/>
        <w:spacing w:before="120" w:after="80"/>
      </w:pPr>
      <w:r>
        <w:rPr>
          <w:rFonts w:ascii="Calibri" w:hAnsi="Calibri" w:eastAsia="宋体"/>
          <w:b/>
          <w:i w:val="0"/>
          <w:color w:val="17365D"/>
          <w:sz w:val="20"/>
        </w:rPr>
        <w:t>表6  原始传感、任务变量与反馈信息的分工</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750"/>
        <w:gridCol w:w="2850"/>
        <w:gridCol w:w="2850"/>
        <w:gridCol w:w="1910"/>
      </w:tblGrid>
      <w:tr>
        <w:trPr>
          <w:cantSplit/>
          <w:tblHeader w:val="true"/>
        </w:trPr>
        <w:tc>
          <w:tcPr>
            <w:tcW w:type="dxa" w:w="17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原始信息</w:t>
            </w:r>
          </w:p>
        </w:tc>
        <w:tc>
          <w:tcPr>
            <w:tcW w:type="dxa" w:w="28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供自动控制/记录保留</w:t>
            </w:r>
          </w:p>
        </w:tc>
        <w:tc>
          <w:tcPr>
            <w:tcW w:type="dxa" w:w="28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建议向使用者反馈</w:t>
            </w:r>
          </w:p>
        </w:tc>
        <w:tc>
          <w:tcPr>
            <w:tcW w:type="dxa" w:w="191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不建议的做法</w:t>
            </w:r>
          </w:p>
        </w:tc>
      </w:tr>
      <w:tr>
        <w:tc>
          <w:tcPr>
            <w:tcW w:type="dxa" w:w="1750"/>
            <w:vAlign w:val="center"/>
          </w:tcPr>
          <w:p>
            <w:pPr>
              <w:spacing w:before="0" w:after="40" w:line="259" w:lineRule="auto"/>
              <w:jc w:val="left"/>
            </w:pPr>
            <w:r>
              <w:rPr>
                <w:rFonts w:ascii="Calibri" w:hAnsi="Calibri" w:eastAsia="宋体"/>
                <w:b w:val="0"/>
                <w:i w:val="0"/>
                <w:color w:val="000000"/>
                <w:sz w:val="16"/>
              </w:rPr>
              <w:t>多个关节角度</w:t>
            </w:r>
          </w:p>
        </w:tc>
        <w:tc>
          <w:tcPr>
            <w:tcW w:type="dxa" w:w="2850"/>
            <w:vAlign w:val="center"/>
          </w:tcPr>
          <w:p>
            <w:pPr>
              <w:spacing w:before="0" w:after="40" w:line="259" w:lineRule="auto"/>
              <w:jc w:val="left"/>
            </w:pPr>
            <w:r>
              <w:rPr>
                <w:rFonts w:ascii="Calibri" w:hAnsi="Calibri" w:eastAsia="宋体"/>
                <w:b w:val="0"/>
                <w:i w:val="0"/>
                <w:color w:val="000000"/>
                <w:sz w:val="16"/>
              </w:rPr>
              <w:t>逐关节连续角度、速度、目标误差</w:t>
            </w:r>
          </w:p>
        </w:tc>
        <w:tc>
          <w:tcPr>
            <w:tcW w:type="dxa" w:w="2850"/>
            <w:vAlign w:val="center"/>
          </w:tcPr>
          <w:p>
            <w:pPr>
              <w:spacing w:before="0" w:after="40" w:line="259" w:lineRule="auto"/>
              <w:jc w:val="left"/>
            </w:pPr>
            <w:r>
              <w:rPr>
                <w:rFonts w:ascii="Calibri" w:hAnsi="Calibri" w:eastAsia="宋体"/>
                <w:b w:val="0"/>
                <w:i w:val="0"/>
                <w:color w:val="000000"/>
                <w:sz w:val="16"/>
              </w:rPr>
              <w:t>手部开度、抓型、运动方向、到位/受阻事件</w:t>
            </w:r>
          </w:p>
        </w:tc>
        <w:tc>
          <w:tcPr>
            <w:tcW w:type="dxa" w:w="1910"/>
            <w:vAlign w:val="center"/>
          </w:tcPr>
          <w:p>
            <w:pPr>
              <w:spacing w:before="0" w:after="40" w:line="259" w:lineRule="auto"/>
              <w:jc w:val="left"/>
            </w:pPr>
            <w:r>
              <w:rPr>
                <w:rFonts w:ascii="Calibri" w:hAnsi="Calibri" w:eastAsia="宋体"/>
                <w:b w:val="0"/>
                <w:i w:val="0"/>
                <w:color w:val="000000"/>
                <w:sz w:val="16"/>
              </w:rPr>
              <w:t>把所有关节角度同时编码为多路连续振动</w:t>
            </w:r>
          </w:p>
        </w:tc>
      </w:tr>
      <w:tr>
        <w:tc>
          <w:tcPr>
            <w:tcW w:type="dxa" w:w="1750"/>
            <w:vAlign w:val="center"/>
          </w:tcPr>
          <w:p>
            <w:pPr>
              <w:spacing w:before="0" w:after="40" w:line="259" w:lineRule="auto"/>
              <w:jc w:val="left"/>
            </w:pPr>
            <w:r>
              <w:rPr>
                <w:rFonts w:ascii="Calibri" w:hAnsi="Calibri" w:eastAsia="宋体"/>
                <w:b w:val="0"/>
                <w:i w:val="0"/>
                <w:color w:val="000000"/>
                <w:sz w:val="16"/>
              </w:rPr>
              <w:t>各指三维力</w:t>
            </w:r>
          </w:p>
        </w:tc>
        <w:tc>
          <w:tcPr>
            <w:tcW w:type="dxa" w:w="2850"/>
            <w:vAlign w:val="center"/>
          </w:tcPr>
          <w:p>
            <w:pPr>
              <w:spacing w:before="0" w:after="40" w:line="259" w:lineRule="auto"/>
              <w:jc w:val="left"/>
            </w:pPr>
            <w:r>
              <w:rPr>
                <w:rFonts w:ascii="Calibri" w:hAnsi="Calibri" w:eastAsia="宋体"/>
                <w:b w:val="0"/>
                <w:i w:val="0"/>
                <w:color w:val="000000"/>
                <w:sz w:val="16"/>
              </w:rPr>
              <w:t>法向/切向连续值、合力、力矩、变化率</w:t>
            </w:r>
          </w:p>
        </w:tc>
        <w:tc>
          <w:tcPr>
            <w:tcW w:type="dxa" w:w="2850"/>
            <w:vAlign w:val="center"/>
          </w:tcPr>
          <w:p>
            <w:pPr>
              <w:spacing w:before="0" w:after="40" w:line="259" w:lineRule="auto"/>
              <w:jc w:val="left"/>
            </w:pPr>
            <w:r>
              <w:rPr>
                <w:rFonts w:ascii="Calibri" w:hAnsi="Calibri" w:eastAsia="宋体"/>
                <w:b w:val="0"/>
                <w:i w:val="0"/>
                <w:color w:val="000000"/>
                <w:sz w:val="16"/>
              </w:rPr>
              <w:t>接触位置、力等级、剪切方向、滑移/过载事件</w:t>
            </w:r>
          </w:p>
        </w:tc>
        <w:tc>
          <w:tcPr>
            <w:tcW w:type="dxa" w:w="1910"/>
            <w:vAlign w:val="center"/>
          </w:tcPr>
          <w:p>
            <w:pPr>
              <w:spacing w:before="0" w:after="40" w:line="259" w:lineRule="auto"/>
              <w:jc w:val="left"/>
            </w:pPr>
            <w:r>
              <w:rPr>
                <w:rFonts w:ascii="Calibri" w:hAnsi="Calibri" w:eastAsia="宋体"/>
                <w:b w:val="0"/>
                <w:i w:val="0"/>
                <w:color w:val="000000"/>
                <w:sz w:val="16"/>
              </w:rPr>
              <w:t>只报告总压力而丢失方向；或要求人解读三个数值</w:t>
            </w:r>
          </w:p>
        </w:tc>
      </w:tr>
      <w:tr>
        <w:tc>
          <w:tcPr>
            <w:tcW w:type="dxa" w:w="1750"/>
            <w:vAlign w:val="center"/>
          </w:tcPr>
          <w:p>
            <w:pPr>
              <w:spacing w:before="0" w:after="40" w:line="259" w:lineRule="auto"/>
              <w:jc w:val="left"/>
            </w:pPr>
            <w:r>
              <w:rPr>
                <w:rFonts w:ascii="Calibri" w:hAnsi="Calibri" w:eastAsia="宋体"/>
                <w:b w:val="0"/>
                <w:i w:val="0"/>
                <w:color w:val="000000"/>
                <w:sz w:val="16"/>
              </w:rPr>
              <w:t>温度与变化率</w:t>
            </w:r>
          </w:p>
        </w:tc>
        <w:tc>
          <w:tcPr>
            <w:tcW w:type="dxa" w:w="2850"/>
            <w:vAlign w:val="center"/>
          </w:tcPr>
          <w:p>
            <w:pPr>
              <w:spacing w:before="0" w:after="40" w:line="259" w:lineRule="auto"/>
              <w:jc w:val="left"/>
            </w:pPr>
            <w:r>
              <w:rPr>
                <w:rFonts w:ascii="Calibri" w:hAnsi="Calibri" w:eastAsia="宋体"/>
                <w:b w:val="0"/>
                <w:i w:val="0"/>
                <w:color w:val="000000"/>
                <w:sz w:val="16"/>
              </w:rPr>
              <w:t>连续温度、传感器响应、热剂量指标</w:t>
            </w:r>
          </w:p>
        </w:tc>
        <w:tc>
          <w:tcPr>
            <w:tcW w:type="dxa" w:w="2850"/>
            <w:vAlign w:val="center"/>
          </w:tcPr>
          <w:p>
            <w:pPr>
              <w:spacing w:before="0" w:after="40" w:line="259" w:lineRule="auto"/>
              <w:jc w:val="left"/>
            </w:pPr>
            <w:r>
              <w:rPr>
                <w:rFonts w:ascii="Calibri" w:hAnsi="Calibri" w:eastAsia="宋体"/>
                <w:b w:val="0"/>
                <w:i w:val="0"/>
                <w:color w:val="000000"/>
                <w:sz w:val="16"/>
              </w:rPr>
              <w:t>冷/正常/热/危险等级及高优先级报警</w:t>
            </w:r>
          </w:p>
        </w:tc>
        <w:tc>
          <w:tcPr>
            <w:tcW w:type="dxa" w:w="1910"/>
            <w:vAlign w:val="center"/>
          </w:tcPr>
          <w:p>
            <w:pPr>
              <w:spacing w:before="0" w:after="40" w:line="259" w:lineRule="auto"/>
              <w:jc w:val="left"/>
            </w:pPr>
            <w:r>
              <w:rPr>
                <w:rFonts w:ascii="Calibri" w:hAnsi="Calibri" w:eastAsia="宋体"/>
                <w:b w:val="0"/>
                <w:i w:val="0"/>
                <w:color w:val="000000"/>
                <w:sz w:val="16"/>
              </w:rPr>
              <w:t>在缺少安全验证时模拟可能造成皮肤伤害的热刺激</w:t>
            </w:r>
          </w:p>
        </w:tc>
      </w:tr>
    </w:tbl>
    <w:p>
      <w:pPr>
        <w:spacing w:before="80" w:after="120"/>
      </w:pPr>
      <w:r>
        <w:rPr>
          <w:rFonts w:ascii="Calibri" w:hAnsi="Calibri" w:eastAsia="宋体"/>
          <w:b w:val="0"/>
          <w:i/>
          <w:color w:val="667085"/>
          <w:sz w:val="17"/>
        </w:rPr>
        <w:t>该分工允许同一传感系统同时服务于机器闭环、人机反馈和实验分析。</w:t>
      </w:r>
    </w:p>
    <w:p>
      <w:pPr>
        <w:pStyle w:val="Heading1"/>
        <w:keepNext/>
      </w:pPr>
      <w:r>
        <w:rPr>
          <w:rFonts w:ascii="Calibri" w:hAnsi="Calibri" w:eastAsia="黑体"/>
          <w:b/>
          <w:i w:val="0"/>
          <w:color w:val="2E5F8A"/>
          <w:sz w:val="32"/>
        </w:rPr>
        <w:t>7 后续真人实验需要验证的研究假设</w:t>
      </w:r>
    </w:p>
    <w:p>
      <w:pPr>
        <w:spacing w:before="0" w:after="160" w:line="320" w:lineRule="auto"/>
        <w:ind w:firstLine="440"/>
        <w:jc w:val="both"/>
      </w:pPr>
      <w:r>
        <w:rPr>
          <w:rFonts w:ascii="Calibri" w:hAnsi="Calibri" w:eastAsia="宋体"/>
          <w:b w:val="0"/>
          <w:i w:val="0"/>
          <w:color w:val="000000"/>
          <w:sz w:val="22"/>
        </w:rPr>
        <w:t>下列假设可在第二章末尾提出，但其成立与否应由后续章节中的受试者内对照实验决定。正常受试者使用假肢模拟器适合完成编码筛选和机制验证；截肢患者更适合验证临床可用性、长期学习和真实视觉补偿。若最终仅招募正常受试者，结论应限定为“模拟假肢操作条件下的可行性”，不宜声称恢复了截肢患者感觉。</w:t>
      </w:r>
    </w:p>
    <w:p>
      <w:pPr>
        <w:keepNext/>
        <w:spacing w:before="120" w:after="80"/>
      </w:pPr>
      <w:r>
        <w:rPr>
          <w:rFonts w:ascii="Calibri" w:hAnsi="Calibri" w:eastAsia="宋体"/>
          <w:b/>
          <w:i w:val="0"/>
          <w:color w:val="17365D"/>
          <w:sz w:val="20"/>
        </w:rPr>
        <w:t>表7  建议在后续章节验证的研究假设</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750"/>
        <w:gridCol w:w="5000"/>
        <w:gridCol w:w="2610"/>
      </w:tblGrid>
      <w:tr>
        <w:trPr>
          <w:cantSplit/>
          <w:tblHeader w:val="true"/>
        </w:trPr>
        <w:tc>
          <w:tcPr>
            <w:tcW w:type="dxa" w:w="175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假设</w:t>
            </w:r>
          </w:p>
        </w:tc>
        <w:tc>
          <w:tcPr>
            <w:tcW w:type="dxa" w:w="50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可证伪表述</w:t>
            </w:r>
          </w:p>
        </w:tc>
        <w:tc>
          <w:tcPr>
            <w:tcW w:type="dxa" w:w="261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主要结果指标</w:t>
            </w:r>
          </w:p>
        </w:tc>
      </w:tr>
      <w:tr>
        <w:tc>
          <w:tcPr>
            <w:tcW w:type="dxa" w:w="1750"/>
            <w:vAlign w:val="center"/>
          </w:tcPr>
          <w:p>
            <w:pPr>
              <w:spacing w:before="0" w:after="40" w:line="259" w:lineRule="auto"/>
              <w:jc w:val="left"/>
            </w:pPr>
            <w:r>
              <w:rPr>
                <w:rFonts w:ascii="Calibri" w:hAnsi="Calibri" w:eastAsia="宋体"/>
                <w:b w:val="0"/>
                <w:i w:val="0"/>
                <w:color w:val="000000"/>
                <w:sz w:val="16"/>
              </w:rPr>
              <w:t>H1 角度—姿态</w:t>
            </w:r>
          </w:p>
        </w:tc>
        <w:tc>
          <w:tcPr>
            <w:tcW w:type="dxa" w:w="5000"/>
            <w:vAlign w:val="center"/>
          </w:tcPr>
          <w:p>
            <w:pPr>
              <w:spacing w:before="0" w:after="40" w:line="259" w:lineRule="auto"/>
              <w:jc w:val="left"/>
            </w:pPr>
            <w:r>
              <w:rPr>
                <w:rFonts w:ascii="Calibri" w:hAnsi="Calibri" w:eastAsia="宋体"/>
                <w:b w:val="0"/>
                <w:i w:val="0"/>
                <w:color w:val="000000"/>
                <w:sz w:val="16"/>
              </w:rPr>
              <w:t>在视野受限条件下，角度/开度反馈相较无反馈可降低目标开度和姿态复现误差。</w:t>
            </w:r>
          </w:p>
        </w:tc>
        <w:tc>
          <w:tcPr>
            <w:tcW w:type="dxa" w:w="2610"/>
            <w:vAlign w:val="center"/>
          </w:tcPr>
          <w:p>
            <w:pPr>
              <w:spacing w:before="0" w:after="40" w:line="259" w:lineRule="auto"/>
              <w:jc w:val="left"/>
            </w:pPr>
            <w:r>
              <w:rPr>
                <w:rFonts w:ascii="Calibri" w:hAnsi="Calibri" w:eastAsia="宋体"/>
                <w:b w:val="0"/>
                <w:i w:val="0"/>
                <w:color w:val="000000"/>
                <w:sz w:val="16"/>
              </w:rPr>
              <w:t>开度误差、角度误差、到位判断正确率</w:t>
            </w:r>
          </w:p>
        </w:tc>
      </w:tr>
      <w:tr>
        <w:tc>
          <w:tcPr>
            <w:tcW w:type="dxa" w:w="1750"/>
            <w:vAlign w:val="center"/>
          </w:tcPr>
          <w:p>
            <w:pPr>
              <w:spacing w:before="0" w:after="40" w:line="259" w:lineRule="auto"/>
              <w:jc w:val="left"/>
            </w:pPr>
            <w:r>
              <w:rPr>
                <w:rFonts w:ascii="Calibri" w:hAnsi="Calibri" w:eastAsia="宋体"/>
                <w:b w:val="0"/>
                <w:i w:val="0"/>
                <w:color w:val="000000"/>
                <w:sz w:val="16"/>
              </w:rPr>
              <w:t>H2 角度—视觉</w:t>
            </w:r>
          </w:p>
        </w:tc>
        <w:tc>
          <w:tcPr>
            <w:tcW w:type="dxa" w:w="5000"/>
            <w:vAlign w:val="center"/>
          </w:tcPr>
          <w:p>
            <w:pPr>
              <w:spacing w:before="0" w:after="40" w:line="259" w:lineRule="auto"/>
              <w:jc w:val="left"/>
            </w:pPr>
            <w:r>
              <w:rPr>
                <w:rFonts w:ascii="Calibri" w:hAnsi="Calibri" w:eastAsia="宋体"/>
                <w:b w:val="0"/>
                <w:i w:val="0"/>
                <w:color w:val="000000"/>
                <w:sz w:val="16"/>
              </w:rPr>
              <w:t>角度/开度反馈可减少接触前对假手的注视比例和视线切换次数。</w:t>
            </w:r>
          </w:p>
        </w:tc>
        <w:tc>
          <w:tcPr>
            <w:tcW w:type="dxa" w:w="2610"/>
            <w:vAlign w:val="center"/>
          </w:tcPr>
          <w:p>
            <w:pPr>
              <w:spacing w:before="0" w:after="40" w:line="259" w:lineRule="auto"/>
              <w:jc w:val="left"/>
            </w:pPr>
            <w:r>
              <w:rPr>
                <w:rFonts w:ascii="Calibri" w:hAnsi="Calibri" w:eastAsia="宋体"/>
                <w:b w:val="0"/>
                <w:i w:val="0"/>
                <w:color w:val="000000"/>
                <w:sz w:val="16"/>
              </w:rPr>
              <w:t>手部注视占比、视线转移次数、注视脱离时延</w:t>
            </w:r>
          </w:p>
        </w:tc>
      </w:tr>
      <w:tr>
        <w:tc>
          <w:tcPr>
            <w:tcW w:type="dxa" w:w="1750"/>
            <w:vAlign w:val="center"/>
          </w:tcPr>
          <w:p>
            <w:pPr>
              <w:spacing w:before="0" w:after="40" w:line="259" w:lineRule="auto"/>
              <w:jc w:val="left"/>
            </w:pPr>
            <w:r>
              <w:rPr>
                <w:rFonts w:ascii="Calibri" w:hAnsi="Calibri" w:eastAsia="宋体"/>
                <w:b w:val="0"/>
                <w:i w:val="0"/>
                <w:color w:val="000000"/>
                <w:sz w:val="16"/>
              </w:rPr>
              <w:t>H3 法向力—力度</w:t>
            </w:r>
          </w:p>
        </w:tc>
        <w:tc>
          <w:tcPr>
            <w:tcW w:type="dxa" w:w="5000"/>
            <w:vAlign w:val="center"/>
          </w:tcPr>
          <w:p>
            <w:pPr>
              <w:spacing w:before="0" w:after="40" w:line="259" w:lineRule="auto"/>
              <w:jc w:val="left"/>
            </w:pPr>
            <w:r>
              <w:rPr>
                <w:rFonts w:ascii="Calibri" w:hAnsi="Calibri" w:eastAsia="宋体"/>
                <w:b w:val="0"/>
                <w:i w:val="0"/>
                <w:color w:val="000000"/>
                <w:sz w:val="16"/>
              </w:rPr>
              <w:t>法向力反馈可减少力过大和力不足事件，提高易碎物或刚度未知物体的抓握成功率。</w:t>
            </w:r>
          </w:p>
        </w:tc>
        <w:tc>
          <w:tcPr>
            <w:tcW w:type="dxa" w:w="2610"/>
            <w:vAlign w:val="center"/>
          </w:tcPr>
          <w:p>
            <w:pPr>
              <w:spacing w:before="0" w:after="40" w:line="259" w:lineRule="auto"/>
              <w:jc w:val="left"/>
            </w:pPr>
            <w:r>
              <w:rPr>
                <w:rFonts w:ascii="Calibri" w:hAnsi="Calibri" w:eastAsia="宋体"/>
                <w:b w:val="0"/>
                <w:i w:val="0"/>
                <w:color w:val="000000"/>
                <w:sz w:val="16"/>
              </w:rPr>
              <w:t>峰值力、目标力误差、损坏/滑落率</w:t>
            </w:r>
          </w:p>
        </w:tc>
      </w:tr>
      <w:tr>
        <w:tc>
          <w:tcPr>
            <w:tcW w:type="dxa" w:w="1750"/>
            <w:vAlign w:val="center"/>
          </w:tcPr>
          <w:p>
            <w:pPr>
              <w:spacing w:before="0" w:after="40" w:line="259" w:lineRule="auto"/>
              <w:jc w:val="left"/>
            </w:pPr>
            <w:r>
              <w:rPr>
                <w:rFonts w:ascii="Calibri" w:hAnsi="Calibri" w:eastAsia="宋体"/>
                <w:b w:val="0"/>
                <w:i w:val="0"/>
                <w:color w:val="000000"/>
                <w:sz w:val="16"/>
              </w:rPr>
              <w:t>H4 三维力增量</w:t>
            </w:r>
          </w:p>
        </w:tc>
        <w:tc>
          <w:tcPr>
            <w:tcW w:type="dxa" w:w="5000"/>
            <w:vAlign w:val="center"/>
          </w:tcPr>
          <w:p>
            <w:pPr>
              <w:spacing w:before="0" w:after="40" w:line="259" w:lineRule="auto"/>
              <w:jc w:val="left"/>
            </w:pPr>
            <w:r>
              <w:rPr>
                <w:rFonts w:ascii="Calibri" w:hAnsi="Calibri" w:eastAsia="宋体"/>
                <w:b w:val="0"/>
                <w:i w:val="0"/>
                <w:color w:val="000000"/>
                <w:sz w:val="16"/>
              </w:rPr>
              <w:t>在载荷方向变化或外扰条件下，三维力反馈相较仅法向力反馈可更早识别滑移趋势并改善方向性调整。</w:t>
            </w:r>
          </w:p>
        </w:tc>
        <w:tc>
          <w:tcPr>
            <w:tcW w:type="dxa" w:w="2610"/>
            <w:vAlign w:val="center"/>
          </w:tcPr>
          <w:p>
            <w:pPr>
              <w:spacing w:before="0" w:after="40" w:line="259" w:lineRule="auto"/>
              <w:jc w:val="left"/>
            </w:pPr>
            <w:r>
              <w:rPr>
                <w:rFonts w:ascii="Calibri" w:hAnsi="Calibri" w:eastAsia="宋体"/>
                <w:b w:val="0"/>
                <w:i w:val="0"/>
                <w:color w:val="000000"/>
                <w:sz w:val="16"/>
              </w:rPr>
              <w:t>滑移检出时延、切向扰动方向正确率、调整次数</w:t>
            </w:r>
          </w:p>
        </w:tc>
      </w:tr>
      <w:tr>
        <w:tc>
          <w:tcPr>
            <w:tcW w:type="dxa" w:w="1750"/>
            <w:vAlign w:val="center"/>
          </w:tcPr>
          <w:p>
            <w:pPr>
              <w:spacing w:before="0" w:after="40" w:line="259" w:lineRule="auto"/>
              <w:jc w:val="left"/>
            </w:pPr>
            <w:r>
              <w:rPr>
                <w:rFonts w:ascii="Calibri" w:hAnsi="Calibri" w:eastAsia="宋体"/>
                <w:b w:val="0"/>
                <w:i w:val="0"/>
                <w:color w:val="000000"/>
                <w:sz w:val="16"/>
              </w:rPr>
              <w:t>H5 温度辨识</w:t>
            </w:r>
          </w:p>
        </w:tc>
        <w:tc>
          <w:tcPr>
            <w:tcW w:type="dxa" w:w="5000"/>
            <w:vAlign w:val="center"/>
          </w:tcPr>
          <w:p>
            <w:pPr>
              <w:spacing w:before="0" w:after="40" w:line="259" w:lineRule="auto"/>
              <w:jc w:val="left"/>
            </w:pPr>
            <w:r>
              <w:rPr>
                <w:rFonts w:ascii="Calibri" w:hAnsi="Calibri" w:eastAsia="宋体"/>
                <w:b w:val="0"/>
                <w:i w:val="0"/>
                <w:color w:val="000000"/>
                <w:sz w:val="16"/>
              </w:rPr>
              <w:t>温度反馈相较无温度反馈可提高外观相同物体的冷热等级识别率。</w:t>
            </w:r>
          </w:p>
        </w:tc>
        <w:tc>
          <w:tcPr>
            <w:tcW w:type="dxa" w:w="2610"/>
            <w:vAlign w:val="center"/>
          </w:tcPr>
          <w:p>
            <w:pPr>
              <w:spacing w:before="0" w:after="40" w:line="259" w:lineRule="auto"/>
              <w:jc w:val="left"/>
            </w:pPr>
            <w:r>
              <w:rPr>
                <w:rFonts w:ascii="Calibri" w:hAnsi="Calibri" w:eastAsia="宋体"/>
                <w:b w:val="0"/>
                <w:i w:val="0"/>
                <w:color w:val="000000"/>
                <w:sz w:val="16"/>
              </w:rPr>
              <w:t>分类正确率、温度估计误差、判断时间</w:t>
            </w:r>
          </w:p>
        </w:tc>
      </w:tr>
      <w:tr>
        <w:tc>
          <w:tcPr>
            <w:tcW w:type="dxa" w:w="1750"/>
            <w:vAlign w:val="center"/>
          </w:tcPr>
          <w:p>
            <w:pPr>
              <w:spacing w:before="0" w:after="40" w:line="259" w:lineRule="auto"/>
              <w:jc w:val="left"/>
            </w:pPr>
            <w:r>
              <w:rPr>
                <w:rFonts w:ascii="Calibri" w:hAnsi="Calibri" w:eastAsia="宋体"/>
                <w:b w:val="0"/>
                <w:i w:val="0"/>
                <w:color w:val="000000"/>
                <w:sz w:val="16"/>
              </w:rPr>
              <w:t>H6 热安全</w:t>
            </w:r>
          </w:p>
        </w:tc>
        <w:tc>
          <w:tcPr>
            <w:tcW w:type="dxa" w:w="5000"/>
            <w:vAlign w:val="center"/>
          </w:tcPr>
          <w:p>
            <w:pPr>
              <w:spacing w:before="0" w:after="40" w:line="259" w:lineRule="auto"/>
              <w:jc w:val="left"/>
            </w:pPr>
            <w:r>
              <w:rPr>
                <w:rFonts w:ascii="Calibri" w:hAnsi="Calibri" w:eastAsia="宋体"/>
                <w:b w:val="0"/>
                <w:i w:val="0"/>
                <w:color w:val="000000"/>
                <w:sz w:val="16"/>
              </w:rPr>
              <w:t>温度告警可缩短热风险接触后的释放时间并降低超阈值累计接触。</w:t>
            </w:r>
          </w:p>
        </w:tc>
        <w:tc>
          <w:tcPr>
            <w:tcW w:type="dxa" w:w="2610"/>
            <w:vAlign w:val="center"/>
          </w:tcPr>
          <w:p>
            <w:pPr>
              <w:spacing w:before="0" w:after="40" w:line="259" w:lineRule="auto"/>
              <w:jc w:val="left"/>
            </w:pPr>
            <w:r>
              <w:rPr>
                <w:rFonts w:ascii="Calibri" w:hAnsi="Calibri" w:eastAsia="宋体"/>
                <w:b w:val="0"/>
                <w:i w:val="0"/>
                <w:color w:val="000000"/>
                <w:sz w:val="16"/>
              </w:rPr>
              <w:t>释放时延、危险误持次数、温度—时间暴露量</w:t>
            </w:r>
          </w:p>
        </w:tc>
      </w:tr>
      <w:tr>
        <w:tc>
          <w:tcPr>
            <w:tcW w:type="dxa" w:w="1750"/>
            <w:vAlign w:val="center"/>
          </w:tcPr>
          <w:p>
            <w:pPr>
              <w:spacing w:before="0" w:after="40" w:line="259" w:lineRule="auto"/>
              <w:jc w:val="left"/>
            </w:pPr>
            <w:r>
              <w:rPr>
                <w:rFonts w:ascii="Calibri" w:hAnsi="Calibri" w:eastAsia="宋体"/>
                <w:b w:val="0"/>
                <w:i w:val="0"/>
                <w:color w:val="000000"/>
                <w:sz w:val="16"/>
              </w:rPr>
              <w:t>H7 多模态—双任务</w:t>
            </w:r>
          </w:p>
        </w:tc>
        <w:tc>
          <w:tcPr>
            <w:tcW w:type="dxa" w:w="5000"/>
            <w:vAlign w:val="center"/>
          </w:tcPr>
          <w:p>
            <w:pPr>
              <w:spacing w:before="0" w:after="40" w:line="259" w:lineRule="auto"/>
              <w:jc w:val="left"/>
            </w:pPr>
            <w:r>
              <w:rPr>
                <w:rFonts w:ascii="Calibri" w:hAnsi="Calibri" w:eastAsia="宋体"/>
                <w:b w:val="0"/>
                <w:i w:val="0"/>
                <w:color w:val="000000"/>
                <w:sz w:val="16"/>
              </w:rPr>
              <w:t>角度、力和温度的任务相关反馈在双任务条件下可提高主任务表现，同时不显著损害次要任务。</w:t>
            </w:r>
          </w:p>
        </w:tc>
        <w:tc>
          <w:tcPr>
            <w:tcW w:type="dxa" w:w="2610"/>
            <w:vAlign w:val="center"/>
          </w:tcPr>
          <w:p>
            <w:pPr>
              <w:spacing w:before="0" w:after="40" w:line="259" w:lineRule="auto"/>
              <w:jc w:val="left"/>
            </w:pPr>
            <w:r>
              <w:rPr>
                <w:rFonts w:ascii="Calibri" w:hAnsi="Calibri" w:eastAsia="宋体"/>
                <w:b w:val="0"/>
                <w:i w:val="0"/>
                <w:color w:val="000000"/>
                <w:sz w:val="16"/>
              </w:rPr>
              <w:t>主任务成功率、次要任务正确率、NASA-TLX</w:t>
            </w:r>
          </w:p>
        </w:tc>
      </w:tr>
      <w:tr>
        <w:tc>
          <w:tcPr>
            <w:tcW w:type="dxa" w:w="1750"/>
            <w:vAlign w:val="center"/>
          </w:tcPr>
          <w:p>
            <w:pPr>
              <w:spacing w:before="0" w:after="40" w:line="259" w:lineRule="auto"/>
              <w:jc w:val="left"/>
            </w:pPr>
            <w:r>
              <w:rPr>
                <w:rFonts w:ascii="Calibri" w:hAnsi="Calibri" w:eastAsia="宋体"/>
                <w:b w:val="0"/>
                <w:i w:val="0"/>
                <w:color w:val="000000"/>
                <w:sz w:val="16"/>
              </w:rPr>
              <w:t>H8 反馈负担</w:t>
            </w:r>
          </w:p>
        </w:tc>
        <w:tc>
          <w:tcPr>
            <w:tcW w:type="dxa" w:w="5000"/>
            <w:vAlign w:val="center"/>
          </w:tcPr>
          <w:p>
            <w:pPr>
              <w:spacing w:before="0" w:after="40" w:line="259" w:lineRule="auto"/>
              <w:jc w:val="left"/>
            </w:pPr>
            <w:r>
              <w:rPr>
                <w:rFonts w:ascii="Calibri" w:hAnsi="Calibri" w:eastAsia="宋体"/>
                <w:b w:val="0"/>
                <w:i w:val="0"/>
                <w:color w:val="000000"/>
                <w:sz w:val="16"/>
              </w:rPr>
              <w:t>连续反馈并非总是优于事件反馈；任务相关的分级/事件编码可能以更低认知负担取得相近效果。</w:t>
            </w:r>
          </w:p>
        </w:tc>
        <w:tc>
          <w:tcPr>
            <w:tcW w:type="dxa" w:w="2610"/>
            <w:vAlign w:val="center"/>
          </w:tcPr>
          <w:p>
            <w:pPr>
              <w:spacing w:before="0" w:after="40" w:line="259" w:lineRule="auto"/>
              <w:jc w:val="left"/>
            </w:pPr>
            <w:r>
              <w:rPr>
                <w:rFonts w:ascii="Calibri" w:hAnsi="Calibri" w:eastAsia="宋体"/>
                <w:b w:val="0"/>
                <w:i w:val="0"/>
                <w:color w:val="000000"/>
                <w:sz w:val="16"/>
              </w:rPr>
              <w:t>绩效、学习时间、舒适度、工作负荷、偏好</w:t>
            </w:r>
          </w:p>
        </w:tc>
      </w:tr>
    </w:tbl>
    <w:p>
      <w:pPr>
        <w:spacing w:before="80" w:after="120"/>
      </w:pPr>
      <w:r>
        <w:rPr>
          <w:rFonts w:ascii="Calibri" w:hAnsi="Calibri" w:eastAsia="宋体"/>
          <w:b w:val="0"/>
          <w:i/>
          <w:color w:val="667085"/>
          <w:sz w:val="17"/>
        </w:rPr>
        <w:t>建议将“有/无反馈”与“视觉可用/受限”作为核心条件，并设置仅法向力与三维力的增量比较。</w:t>
      </w:r>
    </w:p>
    <w:p>
      <w:pPr>
        <w:pStyle w:val="Heading2"/>
        <w:keepNext/>
      </w:pPr>
      <w:r>
        <w:rPr>
          <w:rFonts w:ascii="Calibri" w:hAnsi="Calibri" w:eastAsia="黑体"/>
          <w:b/>
          <w:i w:val="0"/>
          <w:color w:val="2E5F8A"/>
          <w:sz w:val="26"/>
        </w:rPr>
        <w:t>7.1 正常受试者与截肢患者的证据角色</w:t>
      </w:r>
    </w:p>
    <w:p>
      <w:pPr>
        <w:spacing w:before="0" w:after="160" w:line="320" w:lineRule="auto"/>
        <w:ind w:firstLine="440"/>
        <w:jc w:val="both"/>
      </w:pPr>
      <w:r>
        <w:rPr>
          <w:rFonts w:ascii="Calibri" w:hAnsi="Calibri" w:eastAsia="宋体"/>
          <w:b w:val="0"/>
          <w:i w:val="0"/>
          <w:color w:val="000000"/>
          <w:sz w:val="22"/>
        </w:rPr>
        <w:t>正常受试者的优势是招募容易、样本相对一致并适合快速比较多种编码，但其完整神经肌肉系统和自然肢体经验会限制外推。Sobuh等观察到正常人假肢模拟器与经验性经桡截肢者在视觉行为上存在令人鼓舞的相似性[6]，可为正常受试者作为前期模型提供依据；这种相似性仍不能消除群体差异。截肢患者样本通常较少且异质性大，宜采用受试者内交叉设计，让每名受试者完成无反馈、单模态和多模态条件，并报告截肢水平、病因、患侧、假肢使用年限和残肢感觉图。</w:t>
      </w:r>
    </w:p>
    <w:p>
      <w:pPr>
        <w:pStyle w:val="Heading2"/>
        <w:keepNext/>
      </w:pPr>
      <w:r>
        <w:rPr>
          <w:rFonts w:ascii="Calibri" w:hAnsi="Calibri" w:eastAsia="黑体"/>
          <w:b/>
          <w:i w:val="0"/>
          <w:color w:val="2E5F8A"/>
          <w:sz w:val="26"/>
        </w:rPr>
        <w:t>7.2 需要预先防范的解释偏差</w:t>
      </w:r>
    </w:p>
    <w:p>
      <w:pPr>
        <w:pStyle w:val="ListBullet"/>
        <w:spacing w:after="120" w:line="280" w:lineRule="auto"/>
        <w:ind w:left="720" w:hanging="360"/>
      </w:pPr>
      <w:r>
        <w:rPr>
          <w:rFonts w:ascii="Calibri" w:hAnsi="Calibri" w:eastAsia="宋体"/>
          <w:b/>
          <w:i w:val="0"/>
          <w:color w:val="2E5F8A"/>
          <w:sz w:val="22"/>
        </w:rPr>
        <w:t>偶然反馈混杂：</w:t>
      </w:r>
      <w:r>
        <w:rPr>
          <w:rFonts w:ascii="Calibri" w:hAnsi="Calibri" w:eastAsia="宋体"/>
          <w:b w:val="0"/>
          <w:i w:val="0"/>
          <w:color w:val="000000"/>
          <w:sz w:val="22"/>
        </w:rPr>
        <w:t>电机声音、机械振动、物体变形和残余视觉都可能透露开度或力信息，应明确控制或记录。</w:t>
      </w:r>
    </w:p>
    <w:p>
      <w:pPr>
        <w:pStyle w:val="ListBullet"/>
        <w:spacing w:after="120" w:line="280" w:lineRule="auto"/>
        <w:ind w:left="720" w:hanging="360"/>
      </w:pPr>
      <w:r>
        <w:rPr>
          <w:rFonts w:ascii="Calibri" w:hAnsi="Calibri" w:eastAsia="宋体"/>
          <w:b/>
          <w:i w:val="0"/>
          <w:color w:val="2E5F8A"/>
          <w:sz w:val="22"/>
        </w:rPr>
        <w:t>传感与反馈混杂：</w:t>
      </w:r>
      <w:r>
        <w:rPr>
          <w:rFonts w:ascii="Calibri" w:hAnsi="Calibri" w:eastAsia="宋体"/>
          <w:b w:val="0"/>
          <w:i w:val="0"/>
          <w:color w:val="000000"/>
          <w:sz w:val="22"/>
        </w:rPr>
        <w:t>比较反馈条件时，自动控制使用的传感器和控制算法应保持不变，只改变传给人的反馈，才能估计人机反馈的独立贡献。</w:t>
      </w:r>
    </w:p>
    <w:p>
      <w:pPr>
        <w:pStyle w:val="ListBullet"/>
        <w:spacing w:after="120" w:line="280" w:lineRule="auto"/>
        <w:ind w:left="720" w:hanging="360"/>
      </w:pPr>
      <w:r>
        <w:rPr>
          <w:rFonts w:ascii="Calibri" w:hAnsi="Calibri" w:eastAsia="宋体"/>
          <w:b/>
          <w:i w:val="0"/>
          <w:color w:val="2E5F8A"/>
          <w:sz w:val="22"/>
        </w:rPr>
        <w:t>学习顺序效应：</w:t>
      </w:r>
      <w:r>
        <w:rPr>
          <w:rFonts w:ascii="Calibri" w:hAnsi="Calibri" w:eastAsia="宋体"/>
          <w:b w:val="0"/>
          <w:i w:val="0"/>
          <w:color w:val="000000"/>
          <w:sz w:val="22"/>
        </w:rPr>
        <w:t>不同条件应随机或平衡顺序，并设置统一训练标准。</w:t>
      </w:r>
    </w:p>
    <w:p>
      <w:pPr>
        <w:pStyle w:val="ListBullet"/>
        <w:spacing w:after="120" w:line="280" w:lineRule="auto"/>
        <w:ind w:left="720" w:hanging="360"/>
      </w:pPr>
      <w:r>
        <w:rPr>
          <w:rFonts w:ascii="Calibri" w:hAnsi="Calibri" w:eastAsia="宋体"/>
          <w:b/>
          <w:i w:val="0"/>
          <w:color w:val="2E5F8A"/>
          <w:sz w:val="22"/>
        </w:rPr>
        <w:t>组合数量爆炸：</w:t>
      </w:r>
      <w:r>
        <w:rPr>
          <w:rFonts w:ascii="Calibri" w:hAnsi="Calibri" w:eastAsia="宋体"/>
          <w:b w:val="0"/>
          <w:i w:val="0"/>
          <w:color w:val="000000"/>
          <w:sz w:val="22"/>
        </w:rPr>
        <w:t>第二章可提出完整需求，但实验应围绕关键增量问题分阶段进行，例如先比较无反馈与角度反馈，再比较法向力与三维力。</w:t>
      </w:r>
    </w:p>
    <w:p>
      <w:pPr>
        <w:pStyle w:val="ListBullet"/>
        <w:spacing w:after="120" w:line="280" w:lineRule="auto"/>
        <w:ind w:left="720" w:hanging="360"/>
      </w:pPr>
      <w:r>
        <w:rPr>
          <w:rFonts w:ascii="Calibri" w:hAnsi="Calibri" w:eastAsia="宋体"/>
          <w:b/>
          <w:i w:val="0"/>
          <w:color w:val="2E5F8A"/>
          <w:sz w:val="22"/>
        </w:rPr>
        <w:t>温度安全与响应：</w:t>
      </w:r>
      <w:r>
        <w:rPr>
          <w:rFonts w:ascii="Calibri" w:hAnsi="Calibri" w:eastAsia="宋体"/>
          <w:b w:val="0"/>
          <w:i w:val="0"/>
          <w:color w:val="000000"/>
          <w:sz w:val="22"/>
        </w:rPr>
        <w:t>温度传感器存在热惯性，不能把初始接触读数等同于物体稳态温度；涉及热源时必须采用安全温区、假手接触和紧急停止。</w:t>
      </w:r>
    </w:p>
    <w:p>
      <w:pPr>
        <w:pStyle w:val="Heading1"/>
        <w:keepNext/>
      </w:pPr>
      <w:r>
        <w:rPr>
          <w:rFonts w:ascii="Calibri" w:hAnsi="Calibri" w:eastAsia="黑体"/>
          <w:b/>
          <w:i w:val="0"/>
          <w:color w:val="2E5F8A"/>
          <w:sz w:val="32"/>
        </w:rPr>
        <w:t>8 建议的第二章写作结构</w:t>
      </w:r>
    </w:p>
    <w:p>
      <w:pPr>
        <w:spacing w:before="0" w:after="160" w:line="320" w:lineRule="auto"/>
        <w:ind w:firstLine="440"/>
        <w:jc w:val="both"/>
      </w:pPr>
      <w:r>
        <w:rPr>
          <w:rFonts w:ascii="Calibri" w:hAnsi="Calibri" w:eastAsia="宋体"/>
          <w:b w:val="0"/>
          <w:i w:val="0"/>
          <w:color w:val="000000"/>
          <w:sz w:val="22"/>
        </w:rPr>
        <w:t>若本报告内容直接转入学位论文，建议将第二章组织为以下结构。章内以文献和市场事实推导需求，避免提前展开完整实验方法；实验任务、样本量、统计方法和刺激参数放在后续人体实验章节。</w:t>
      </w:r>
    </w:p>
    <w:p>
      <w:pPr>
        <w:keepNext/>
        <w:spacing w:before="120" w:after="80"/>
      </w:pPr>
      <w:r>
        <w:rPr>
          <w:rFonts w:ascii="Calibri" w:hAnsi="Calibri" w:eastAsia="宋体"/>
          <w:b/>
          <w:i w:val="0"/>
          <w:color w:val="17365D"/>
          <w:sz w:val="20"/>
        </w:rPr>
        <w:t>表8  第二章推荐目录及写作任务</w:t>
      </w:r>
    </w:p>
    <w:tbl>
      <w:tblPr>
        <w:tblW w:type="dxa" w:w="9360"/>
        <w:jc w:val="left"/>
        <w:tblLayout w:type="fixed"/>
        <w:tblLook w:firstColumn="1" w:firstRow="1" w:lastColumn="0" w:lastRow="0" w:noHBand="0" w:noVBand="1" w:val="04A0"/>
        <w:tblInd w:w="120" w:type="dxa"/>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400"/>
        <w:gridCol w:w="6960"/>
      </w:tblGrid>
      <w:tr>
        <w:trPr>
          <w:cantSplit/>
          <w:tblHeader w:val="true"/>
        </w:trPr>
        <w:tc>
          <w:tcPr>
            <w:tcW w:type="dxa" w:w="240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建议小节</w:t>
            </w:r>
          </w:p>
        </w:tc>
        <w:tc>
          <w:tcPr>
            <w:tcW w:type="dxa" w:w="6960"/>
            <w:tcMar>
              <w:top w:w="90" w:type="dxa"/>
              <w:start w:w="120" w:type="dxa"/>
              <w:bottom w:w="90" w:type="dxa"/>
              <w:end w:w="120" w:type="dxa"/>
            </w:tcMar>
            <w:shd w:fill="EAF1F8"/>
            <w:vAlign w:val="center"/>
          </w:tcPr>
          <w:p>
            <w:pPr>
              <w:spacing w:before="0" w:after="40" w:line="259" w:lineRule="auto"/>
              <w:jc w:val="center"/>
            </w:pPr>
            <w:r>
              <w:rPr>
                <w:rFonts w:ascii="Calibri" w:hAnsi="Calibri" w:eastAsia="宋体"/>
                <w:b/>
                <w:i w:val="0"/>
                <w:color w:val="17365D"/>
                <w:sz w:val="17"/>
              </w:rPr>
              <w:t>承担的论证任务</w:t>
            </w:r>
          </w:p>
        </w:tc>
      </w:tr>
      <w:tr>
        <w:tc>
          <w:tcPr>
            <w:tcW w:type="dxa" w:w="2400"/>
            <w:vAlign w:val="center"/>
          </w:tcPr>
          <w:p>
            <w:pPr>
              <w:spacing w:before="0" w:after="40" w:line="259" w:lineRule="auto"/>
              <w:jc w:val="left"/>
            </w:pPr>
            <w:r>
              <w:rPr>
                <w:rFonts w:ascii="Calibri" w:hAnsi="Calibri" w:eastAsia="宋体"/>
                <w:b w:val="0"/>
                <w:i w:val="0"/>
                <w:color w:val="000000"/>
                <w:sz w:val="17"/>
              </w:rPr>
              <w:t>2.1 灵巧假肢发展与感觉闭环缺口</w:t>
            </w:r>
          </w:p>
        </w:tc>
        <w:tc>
          <w:tcPr>
            <w:tcW w:type="dxa" w:w="6960"/>
            <w:vAlign w:val="center"/>
          </w:tcPr>
          <w:p>
            <w:pPr>
              <w:spacing w:before="0" w:after="40" w:line="259" w:lineRule="auto"/>
              <w:jc w:val="left"/>
            </w:pPr>
            <w:r>
              <w:rPr>
                <w:rFonts w:ascii="Calibri" w:hAnsi="Calibri" w:eastAsia="宋体"/>
                <w:b w:val="0"/>
                <w:i w:val="0"/>
                <w:color w:val="000000"/>
                <w:sz w:val="17"/>
              </w:rPr>
              <w:t>说明运动自由度和控制进步，以及感觉传入通路仍不足；区分内部传感与用户反馈。</w:t>
            </w:r>
          </w:p>
        </w:tc>
      </w:tr>
      <w:tr>
        <w:tc>
          <w:tcPr>
            <w:tcW w:type="dxa" w:w="2400"/>
            <w:vAlign w:val="center"/>
          </w:tcPr>
          <w:p>
            <w:pPr>
              <w:spacing w:before="0" w:after="40" w:line="259" w:lineRule="auto"/>
              <w:jc w:val="left"/>
            </w:pPr>
            <w:r>
              <w:rPr>
                <w:rFonts w:ascii="Calibri" w:hAnsi="Calibri" w:eastAsia="宋体"/>
                <w:b w:val="0"/>
                <w:i w:val="0"/>
                <w:color w:val="000000"/>
                <w:sz w:val="17"/>
              </w:rPr>
              <w:t>2.2 感觉缺失引起的操作问题</w:t>
            </w:r>
          </w:p>
        </w:tc>
        <w:tc>
          <w:tcPr>
            <w:tcW w:type="dxa" w:w="6960"/>
            <w:vAlign w:val="center"/>
          </w:tcPr>
          <w:p>
            <w:pPr>
              <w:spacing w:before="0" w:after="40" w:line="259" w:lineRule="auto"/>
              <w:jc w:val="left"/>
            </w:pPr>
            <w:r>
              <w:rPr>
                <w:rFonts w:ascii="Calibri" w:hAnsi="Calibri" w:eastAsia="宋体"/>
                <w:b w:val="0"/>
                <w:i w:val="0"/>
                <w:color w:val="000000"/>
                <w:sz w:val="17"/>
              </w:rPr>
              <w:t>从视觉依赖、接触前预成形、接触后力控制、滑移和热安全展开。</w:t>
            </w:r>
          </w:p>
        </w:tc>
      </w:tr>
      <w:tr>
        <w:tc>
          <w:tcPr>
            <w:tcW w:type="dxa" w:w="2400"/>
            <w:vAlign w:val="center"/>
          </w:tcPr>
          <w:p>
            <w:pPr>
              <w:spacing w:before="0" w:after="40" w:line="259" w:lineRule="auto"/>
              <w:jc w:val="left"/>
            </w:pPr>
            <w:r>
              <w:rPr>
                <w:rFonts w:ascii="Calibri" w:hAnsi="Calibri" w:eastAsia="宋体"/>
                <w:b w:val="0"/>
                <w:i w:val="0"/>
                <w:color w:val="000000"/>
                <w:sz w:val="17"/>
              </w:rPr>
              <w:t>2.3 多模态信息需求分析</w:t>
            </w:r>
          </w:p>
        </w:tc>
        <w:tc>
          <w:tcPr>
            <w:tcW w:type="dxa" w:w="6960"/>
            <w:vAlign w:val="center"/>
          </w:tcPr>
          <w:p>
            <w:pPr>
              <w:spacing w:before="0" w:after="40" w:line="259" w:lineRule="auto"/>
              <w:jc w:val="left"/>
            </w:pPr>
            <w:r>
              <w:rPr>
                <w:rFonts w:ascii="Calibri" w:hAnsi="Calibri" w:eastAsia="宋体"/>
                <w:b w:val="0"/>
                <w:i w:val="0"/>
                <w:color w:val="000000"/>
                <w:sz w:val="17"/>
              </w:rPr>
              <w:t>分别论证关节角度、指尖三维力和温度，并说明三者覆盖自身状态、接触关系和对象状态。</w:t>
            </w:r>
          </w:p>
        </w:tc>
      </w:tr>
      <w:tr>
        <w:tc>
          <w:tcPr>
            <w:tcW w:type="dxa" w:w="2400"/>
            <w:vAlign w:val="center"/>
          </w:tcPr>
          <w:p>
            <w:pPr>
              <w:spacing w:before="0" w:after="40" w:line="259" w:lineRule="auto"/>
              <w:jc w:val="left"/>
            </w:pPr>
            <w:r>
              <w:rPr>
                <w:rFonts w:ascii="Calibri" w:hAnsi="Calibri" w:eastAsia="宋体"/>
                <w:b w:val="0"/>
                <w:i w:val="0"/>
                <w:color w:val="000000"/>
                <w:sz w:val="17"/>
              </w:rPr>
              <w:t>2.4 商用产品功能与市场缺口</w:t>
            </w:r>
          </w:p>
        </w:tc>
        <w:tc>
          <w:tcPr>
            <w:tcW w:type="dxa" w:w="6960"/>
            <w:vAlign w:val="center"/>
          </w:tcPr>
          <w:p>
            <w:pPr>
              <w:spacing w:before="0" w:after="40" w:line="259" w:lineRule="auto"/>
              <w:jc w:val="left"/>
            </w:pPr>
            <w:r>
              <w:rPr>
                <w:rFonts w:ascii="Calibri" w:hAnsi="Calibri" w:eastAsia="宋体"/>
                <w:b w:val="0"/>
                <w:i w:val="0"/>
                <w:color w:val="000000"/>
                <w:sz w:val="17"/>
              </w:rPr>
              <w:t>使用表4，强调已有触压反馈开始商品化，但本体、三维力和温度尚未成为普遍标准能力。</w:t>
            </w:r>
          </w:p>
        </w:tc>
      </w:tr>
      <w:tr>
        <w:tc>
          <w:tcPr>
            <w:tcW w:type="dxa" w:w="2400"/>
            <w:vAlign w:val="center"/>
          </w:tcPr>
          <w:p>
            <w:pPr>
              <w:spacing w:before="0" w:after="40" w:line="259" w:lineRule="auto"/>
              <w:jc w:val="left"/>
            </w:pPr>
            <w:r>
              <w:rPr>
                <w:rFonts w:ascii="Calibri" w:hAnsi="Calibri" w:eastAsia="宋体"/>
                <w:b w:val="0"/>
                <w:i w:val="0"/>
                <w:color w:val="000000"/>
                <w:sz w:val="17"/>
              </w:rPr>
              <w:t>2.5 系统需求定义</w:t>
            </w:r>
          </w:p>
        </w:tc>
        <w:tc>
          <w:tcPr>
            <w:tcW w:type="dxa" w:w="6960"/>
            <w:vAlign w:val="center"/>
          </w:tcPr>
          <w:p>
            <w:pPr>
              <w:spacing w:before="0" w:after="40" w:line="259" w:lineRule="auto"/>
              <w:jc w:val="left"/>
            </w:pPr>
            <w:r>
              <w:rPr>
                <w:rFonts w:ascii="Calibri" w:hAnsi="Calibri" w:eastAsia="宋体"/>
                <w:b w:val="0"/>
                <w:i w:val="0"/>
                <w:color w:val="000000"/>
                <w:sz w:val="17"/>
              </w:rPr>
              <w:t>给出FR-01至FR-10及实时性、可辨识性、个性化、安全和记录需求。</w:t>
            </w:r>
          </w:p>
        </w:tc>
      </w:tr>
      <w:tr>
        <w:tc>
          <w:tcPr>
            <w:tcW w:type="dxa" w:w="2400"/>
            <w:vAlign w:val="center"/>
          </w:tcPr>
          <w:p>
            <w:pPr>
              <w:spacing w:before="0" w:after="40" w:line="259" w:lineRule="auto"/>
              <w:jc w:val="left"/>
            </w:pPr>
            <w:r>
              <w:rPr>
                <w:rFonts w:ascii="Calibri" w:hAnsi="Calibri" w:eastAsia="宋体"/>
                <w:b w:val="0"/>
                <w:i w:val="0"/>
                <w:color w:val="000000"/>
                <w:sz w:val="17"/>
              </w:rPr>
              <w:t>2.6 研究问题与假设</w:t>
            </w:r>
          </w:p>
        </w:tc>
        <w:tc>
          <w:tcPr>
            <w:tcW w:type="dxa" w:w="6960"/>
            <w:vAlign w:val="center"/>
          </w:tcPr>
          <w:p>
            <w:pPr>
              <w:spacing w:before="0" w:after="40" w:line="259" w:lineRule="auto"/>
              <w:jc w:val="left"/>
            </w:pPr>
            <w:r>
              <w:rPr>
                <w:rFonts w:ascii="Calibri" w:hAnsi="Calibri" w:eastAsia="宋体"/>
                <w:b w:val="0"/>
                <w:i w:val="0"/>
                <w:color w:val="000000"/>
                <w:sz w:val="17"/>
              </w:rPr>
              <w:t>提出H1至H8，说明将在后续真人实验中验证，不在第二章先下结论。</w:t>
            </w:r>
          </w:p>
        </w:tc>
      </w:tr>
      <w:tr>
        <w:tc>
          <w:tcPr>
            <w:tcW w:type="dxa" w:w="2400"/>
            <w:vAlign w:val="center"/>
          </w:tcPr>
          <w:p>
            <w:pPr>
              <w:spacing w:before="0" w:after="40" w:line="259" w:lineRule="auto"/>
              <w:jc w:val="left"/>
            </w:pPr>
            <w:r>
              <w:rPr>
                <w:rFonts w:ascii="Calibri" w:hAnsi="Calibri" w:eastAsia="宋体"/>
                <w:b w:val="0"/>
                <w:i w:val="0"/>
                <w:color w:val="000000"/>
                <w:sz w:val="17"/>
              </w:rPr>
              <w:t>2.7 本章小结</w:t>
            </w:r>
          </w:p>
        </w:tc>
        <w:tc>
          <w:tcPr>
            <w:tcW w:type="dxa" w:w="6960"/>
            <w:vAlign w:val="center"/>
          </w:tcPr>
          <w:p>
            <w:pPr>
              <w:spacing w:before="0" w:after="40" w:line="259" w:lineRule="auto"/>
              <w:jc w:val="left"/>
            </w:pPr>
            <w:r>
              <w:rPr>
                <w:rFonts w:ascii="Calibri" w:hAnsi="Calibri" w:eastAsia="宋体"/>
                <w:b w:val="0"/>
                <w:i w:val="0"/>
                <w:color w:val="000000"/>
                <w:sz w:val="17"/>
              </w:rPr>
              <w:t>收束为“多模态信息具有理论和工程必要性，但其用户效益具有任务依赖性，需要真人实验证实”。</w:t>
            </w:r>
          </w:p>
        </w:tc>
      </w:tr>
    </w:tbl>
    <w:p>
      <w:pPr>
        <w:spacing w:before="80" w:after="120"/>
      </w:pPr>
      <w:r>
        <w:rPr>
          <w:rFonts w:ascii="Calibri" w:hAnsi="Calibri" w:eastAsia="宋体"/>
          <w:b w:val="0"/>
          <w:i/>
          <w:color w:val="667085"/>
          <w:sz w:val="17"/>
        </w:rPr>
        <w:t>可根据学校论文模板调整编号和标题，但建议保留论证顺序。</w:t>
      </w:r>
    </w:p>
    <w:p>
      <w:pPr>
        <w:pStyle w:val="Heading1"/>
        <w:keepNext/>
      </w:pPr>
      <w:r>
        <w:rPr>
          <w:rFonts w:ascii="Calibri" w:hAnsi="Calibri" w:eastAsia="黑体"/>
          <w:b/>
          <w:i w:val="0"/>
          <w:color w:val="2E5F8A"/>
          <w:sz w:val="32"/>
        </w:rPr>
        <w:t>9 综合结论</w:t>
      </w:r>
    </w:p>
    <w:p>
      <w:pPr>
        <w:spacing w:before="0" w:after="160" w:line="320" w:lineRule="auto"/>
        <w:ind w:firstLine="440"/>
        <w:jc w:val="both"/>
      </w:pPr>
      <w:r>
        <w:rPr>
          <w:rFonts w:ascii="Calibri" w:hAnsi="Calibri" w:eastAsia="宋体"/>
          <w:b w:val="0"/>
          <w:i w:val="0"/>
          <w:color w:val="000000"/>
          <w:sz w:val="22"/>
        </w:rPr>
        <w:t>文献和市场证据共同支持这样一个谨慎结论：先进商用假肢已经显著扩展抓型和驱动能力，但使用者可利用的本体、触觉和温度信息仍不完整，操作中因此需要通过视觉、声音和物体形变等间接线索补偿。关节角度、指尖三维力与温度能够分别表征假手自身状态、接触关系和对象热状态，构成互补而非重复的感知维度。</w:t>
      </w:r>
    </w:p>
    <w:p>
      <w:pPr>
        <w:spacing w:before="0" w:after="160" w:line="320" w:lineRule="auto"/>
        <w:ind w:firstLine="440"/>
        <w:jc w:val="both"/>
      </w:pPr>
      <w:r>
        <w:rPr>
          <w:rFonts w:ascii="Calibri" w:hAnsi="Calibri" w:eastAsia="宋体"/>
          <w:b w:val="0"/>
          <w:i w:val="0"/>
          <w:color w:val="000000"/>
          <w:sz w:val="22"/>
        </w:rPr>
        <w:t>同时，附加反馈并不必然提高所有任务表现。视觉充分、声音明显或物体形变易见时，某些反馈可能冗余；连续多通道刺激还可能增加学习与认知负担。因而本研究更有价值的目标不是证明“信息越多越好”，而是确定在何种任务、视觉条件和受试者群体中，哪些低维信息值得反馈给人，哪些高频信息应由假手内部自动闭环处理。第二章据此提出感知与反馈需求，后续章节再通过正常受试者和/或截肢患者实验验证其有效性、边界与个体差异。</w:t>
      </w:r>
    </w:p>
    <w:p>
      <w:pPr>
        <w:keepLines/>
        <w:spacing w:before="120" w:after="200"/>
        <w:ind w:left="115" w:right="115"/>
        <w:shd w:fill="EAF1F8"/>
        <w:pBdr>
          <w:top w:val="single" w:sz="6" w:space="5" w:color="C7D5E3"/>
          <w:left w:val="single" w:sz="6" w:space="5" w:color="C7D5E3"/>
          <w:bottom w:val="single" w:sz="6" w:space="5" w:color="C7D5E3"/>
          <w:right w:val="single" w:sz="6" w:space="5" w:color="C7D5E3"/>
        </w:pBdr>
      </w:pPr>
      <w:r>
        <w:rPr>
          <w:rFonts w:ascii="Calibri" w:hAnsi="Calibri" w:eastAsia="黑体"/>
          <w:b/>
          <w:i w:val="0"/>
          <w:color w:val="17365D"/>
          <w:sz w:val="20"/>
        </w:rPr>
        <w:t xml:space="preserve">建议用于第二章末尾的结论  </w:t>
      </w:r>
      <w:r>
        <w:rPr>
          <w:rFonts w:ascii="Calibri" w:hAnsi="Calibri" w:eastAsia="宋体"/>
          <w:b w:val="0"/>
          <w:i w:val="0"/>
          <w:color w:val="17365D"/>
          <w:sz w:val="20"/>
        </w:rPr>
        <w:t>现有证据足以支持把关节角度、指尖三维力和温度列为候选系统需求，但尚不足以预设三者在所有场景中均能显著降低视觉依赖。本文因此将其转化为可独立消融、可记录、可由真人实验验证的多模态感知与反馈需求。</w:t>
      </w:r>
    </w:p>
    <w:p>
      <w:pPr>
        <w:pStyle w:val="Heading1"/>
        <w:keepNext/>
      </w:pPr>
      <w:r>
        <w:rPr>
          <w:rFonts w:ascii="Calibri" w:hAnsi="Calibri" w:eastAsia="黑体"/>
          <w:b/>
          <w:i w:val="0"/>
          <w:color w:val="2E5F8A"/>
          <w:sz w:val="32"/>
        </w:rPr>
        <w:t>参考文献</w:t>
      </w:r>
    </w:p>
    <w:p>
      <w:pPr>
        <w:spacing w:before="0" w:after="100" w:line="252" w:lineRule="auto"/>
        <w:ind w:left="490" w:hanging="490"/>
      </w:pPr>
      <w:r>
        <w:rPr>
          <w:rFonts w:ascii="Calibri" w:hAnsi="Calibri" w:eastAsia="宋体"/>
          <w:b w:val="0"/>
          <w:i w:val="0"/>
          <w:color w:val="000000"/>
          <w:sz w:val="18"/>
        </w:rPr>
        <w:t>[1] F. Cordella, A. L. Ciancio, R. Sacchetti, A. Davalli, A. G. Cutti, E. Guglielmelli, and L. Zollo, “Literature review on needs of upper limb prosthesis users,” Front. Neurosci., vol. 10, Art. no. 209, 2016, doi: 10.3389/fnins.2016.00209.</w:t>
      </w:r>
    </w:p>
    <w:p>
      <w:pPr>
        <w:spacing w:before="0" w:after="100" w:line="252" w:lineRule="auto"/>
        <w:ind w:left="490" w:hanging="490"/>
      </w:pPr>
      <w:r>
        <w:rPr>
          <w:rFonts w:ascii="Calibri" w:hAnsi="Calibri" w:eastAsia="宋体"/>
          <w:b w:val="0"/>
          <w:i w:val="0"/>
          <w:color w:val="000000"/>
          <w:sz w:val="18"/>
        </w:rPr>
        <w:t>[2] E. Biddiss, D. Beaton, and T. Chau, “Consumer design priorities for upper limb prosthetics,” Disabil. Rehabil. Assist. Technol., vol. 2, no. 6, pp. 346–357, 2007, doi: 10.1080/17483100701714733.</w:t>
      </w:r>
    </w:p>
    <w:p>
      <w:pPr>
        <w:spacing w:before="0" w:after="100" w:line="252" w:lineRule="auto"/>
        <w:ind w:left="490" w:hanging="490"/>
      </w:pPr>
      <w:r>
        <w:rPr>
          <w:rFonts w:ascii="Calibri" w:hAnsi="Calibri" w:eastAsia="宋体"/>
          <w:b w:val="0"/>
          <w:i w:val="0"/>
          <w:color w:val="000000"/>
          <w:sz w:val="18"/>
        </w:rPr>
        <w:t>[3] L. Jabban, B. W. Metcalfe, J. Raines, D. Zhang, and B. Ainsworth, “Experience of adults with upper-limb difference and their views on sensory feedback for prostheses: A mixed methods study,” J. Neuroeng. Rehabil., vol. 19, no. 1, Art. no. 80, 2022, doi: 10.1186/s12984-022-01054-y.</w:t>
      </w:r>
    </w:p>
    <w:p>
      <w:pPr>
        <w:spacing w:before="0" w:after="100" w:line="252" w:lineRule="auto"/>
        <w:ind w:left="490" w:hanging="490"/>
      </w:pPr>
      <w:r>
        <w:rPr>
          <w:rFonts w:ascii="Calibri" w:hAnsi="Calibri" w:eastAsia="宋体"/>
          <w:b w:val="0"/>
          <w:i w:val="0"/>
          <w:color w:val="000000"/>
          <w:sz w:val="18"/>
        </w:rPr>
        <w:t>[4] F. C. Smither, K. L. Andrews, T. L. Scrabeck, R. J. Lennon, and K. D. Zhao, “Opinions on noninvasive sensory feedback of upper limb prosthetic users,” Prosthet. Orthot. Int., vol. 46, no. 6, pp. 591–600, 2022, doi: 10.1097/PXR.0000000000000160.</w:t>
      </w:r>
    </w:p>
    <w:p>
      <w:pPr>
        <w:spacing w:before="0" w:after="100" w:line="252" w:lineRule="auto"/>
        <w:ind w:left="490" w:hanging="490"/>
      </w:pPr>
      <w:r>
        <w:rPr>
          <w:rFonts w:ascii="Calibri" w:hAnsi="Calibri" w:eastAsia="宋体"/>
          <w:b w:val="0"/>
          <w:i w:val="0"/>
          <w:color w:val="000000"/>
          <w:sz w:val="18"/>
        </w:rPr>
        <w:t>[5] J. W. Sensinger and S. Dosen, “A review of sensory feedback in upper-limb prostheses from the perspective of human motor control,” Front. Neurosci., vol. 14, Art. no. 345, 2020, doi: 10.3389/fnins.2020.00345.</w:t>
      </w:r>
    </w:p>
    <w:p>
      <w:pPr>
        <w:spacing w:before="0" w:after="100" w:line="252" w:lineRule="auto"/>
        <w:ind w:left="490" w:hanging="490"/>
      </w:pPr>
      <w:r>
        <w:rPr>
          <w:rFonts w:ascii="Calibri" w:hAnsi="Calibri" w:eastAsia="宋体"/>
          <w:b w:val="0"/>
          <w:i w:val="0"/>
          <w:color w:val="000000"/>
          <w:sz w:val="18"/>
        </w:rPr>
        <w:t>[6] M. M. Sobuh, L. P. Kenney, A. J. Galpin, S. B. Thies, J. McLaughlin, J. Kulkarni, and P. Kyberd, “Visuomotor behaviours when using a myoelectric prosthesis,” J. Neuroeng. Rehabil., vol. 11, Art. no. 72, 2014, doi: 10.1186/1743-0003-11-72.</w:t>
      </w:r>
    </w:p>
    <w:p>
      <w:pPr>
        <w:spacing w:before="0" w:after="100" w:line="252" w:lineRule="auto"/>
        <w:ind w:left="490" w:hanging="490"/>
      </w:pPr>
      <w:r>
        <w:rPr>
          <w:rFonts w:ascii="Calibri" w:hAnsi="Calibri" w:eastAsia="宋体"/>
          <w:b w:val="0"/>
          <w:i w:val="0"/>
          <w:color w:val="000000"/>
          <w:sz w:val="18"/>
        </w:rPr>
        <w:t>[7] E. Raveh, J. Friedman, and S. Portnoy, “Evaluation of the effects of adding vibrotactile feedback to myoelectric prosthesis users on performance and visual attention in a dual-task paradigm,” Clin. Rehabil., vol. 32, no. 10, pp. 1308–1316, 2018, doi: 10.1177/0269215518774104.</w:t>
      </w:r>
    </w:p>
    <w:p>
      <w:pPr>
        <w:spacing w:before="0" w:after="100" w:line="252" w:lineRule="auto"/>
        <w:ind w:left="490" w:hanging="490"/>
      </w:pPr>
      <w:r>
        <w:rPr>
          <w:rFonts w:ascii="Calibri" w:hAnsi="Calibri" w:eastAsia="宋体"/>
          <w:b w:val="0"/>
          <w:i w:val="0"/>
          <w:color w:val="000000"/>
          <w:sz w:val="18"/>
        </w:rPr>
        <w:t>[8] H. J. B. Witteveen, H. S. Rietman, and P. H. Veltink, “Vibrotactile grasping force and hand aperture feedback for myoelectric forearm prosthesis users,” Prosthet. Orthot. Int., vol. 39, no. 3, pp. 204–212, 2015, doi: 10.1177/0309364614522260.</w:t>
      </w:r>
    </w:p>
    <w:p>
      <w:pPr>
        <w:spacing w:before="0" w:after="100" w:line="252" w:lineRule="auto"/>
        <w:ind w:left="490" w:hanging="490"/>
      </w:pPr>
      <w:r>
        <w:rPr>
          <w:rFonts w:ascii="Calibri" w:hAnsi="Calibri" w:eastAsia="宋体"/>
          <w:b w:val="0"/>
          <w:i w:val="0"/>
          <w:color w:val="000000"/>
          <w:sz w:val="18"/>
        </w:rPr>
        <w:t>[9] E. D. Papaleo, M. D'Alonzo, F. Fiori, V. Piombino, E. Falato, F. Pilato, A. De Liso, V. Di Lazzaro, and G. Di Pino, “Integration of proprioception in upper limb prostheses through non-invasive strategies: A review,” J. Neuroeng. Rehabil., vol. 20, no. 1, Art. no. 118, 2023, doi: 10.1186/s12984-023-01242-4.</w:t>
      </w:r>
    </w:p>
    <w:p>
      <w:pPr>
        <w:spacing w:before="0" w:after="100" w:line="252" w:lineRule="auto"/>
        <w:ind w:left="490" w:hanging="490"/>
      </w:pPr>
      <w:r>
        <w:rPr>
          <w:rFonts w:ascii="Calibri" w:hAnsi="Calibri" w:eastAsia="宋体"/>
          <w:b w:val="0"/>
          <w:i w:val="0"/>
          <w:color w:val="000000"/>
          <w:sz w:val="18"/>
        </w:rPr>
        <w:t>[10] P. D. Marasco et al., “Illusory movement perception improves motor control for prosthetic hands,” Sci. Transl. Med., vol. 10, no. 432, Art. no. eaao6990, 2018, doi: 10.1126/scitranslmed.aao6990.</w:t>
      </w:r>
    </w:p>
    <w:p>
      <w:pPr>
        <w:spacing w:before="0" w:after="100" w:line="252" w:lineRule="auto"/>
        <w:ind w:left="490" w:hanging="490"/>
      </w:pPr>
      <w:r>
        <w:rPr>
          <w:rFonts w:ascii="Calibri" w:hAnsi="Calibri" w:eastAsia="宋体"/>
          <w:b w:val="0"/>
          <w:i w:val="0"/>
          <w:color w:val="000000"/>
          <w:sz w:val="18"/>
        </w:rPr>
        <w:t>[11] A. Marinelli et al., “A compact solution for vibrotactile proprioceptive feedback of wrist rotation and hand aperture,” J. Neuroeng. Rehabil., vol. 21, no. 1, Art. no. 142, 2024, doi: 10.1186/s12984-024-01420-y.</w:t>
      </w:r>
    </w:p>
    <w:p>
      <w:pPr>
        <w:spacing w:before="0" w:after="100" w:line="252" w:lineRule="auto"/>
        <w:ind w:left="490" w:hanging="490"/>
      </w:pPr>
      <w:r>
        <w:rPr>
          <w:rFonts w:ascii="Calibri" w:hAnsi="Calibri" w:eastAsia="宋体"/>
          <w:b w:val="0"/>
          <w:i w:val="0"/>
          <w:color w:val="000000"/>
          <w:sz w:val="18"/>
        </w:rPr>
        <w:t>[12] M. Markovic, M. A. Schweisfurth, L. F. Engels, D. Farina, and S. Dosen, “Myocontrol is closed-loop control: Incidental feedback is sufficient for scaling the prosthesis force in routine grasping,” J. Neuroeng. Rehabil., vol. 15, no. 1, Art. no. 81, 2018, doi: 10.1186/s12984-018-0422-7.</w:t>
      </w:r>
    </w:p>
    <w:p>
      <w:pPr>
        <w:spacing w:before="0" w:after="100" w:line="252" w:lineRule="auto"/>
        <w:ind w:left="490" w:hanging="490"/>
      </w:pPr>
      <w:r>
        <w:rPr>
          <w:rFonts w:ascii="Calibri" w:hAnsi="Calibri" w:eastAsia="宋体"/>
          <w:b w:val="0"/>
          <w:i w:val="0"/>
          <w:color w:val="000000"/>
          <w:sz w:val="18"/>
        </w:rPr>
        <w:t>[13] A. Zangrandi, M. D'Alonzo, C. Cipriani, and G. Di Pino, “Neurophysiology of slip sensation and grip reaction: Insights for hand prosthesis control of slippage,” J. Neurophysiol., vol. 126, no. 2, pp. 477–492, 2021, doi: 10.1152/jn.00087.2021.</w:t>
      </w:r>
    </w:p>
    <w:p>
      <w:pPr>
        <w:spacing w:before="0" w:after="100" w:line="252" w:lineRule="auto"/>
        <w:ind w:left="490" w:hanging="490"/>
      </w:pPr>
      <w:r>
        <w:rPr>
          <w:rFonts w:ascii="Calibri" w:hAnsi="Calibri" w:eastAsia="宋体"/>
          <w:b w:val="0"/>
          <w:i w:val="0"/>
          <w:color w:val="000000"/>
          <w:sz w:val="18"/>
        </w:rPr>
        <w:t>[14] L. Osborn, R. Kaliki, A. Soares, and N. Thakor, “Neuromimetic event-based detection for closed-loop tactile feedback control of upper limb prostheses,” IEEE Trans. Haptics, vol. 9, no. 2, pp. 196–206, 2016, doi: 10.1109/TOH.2016.2564965.</w:t>
      </w:r>
    </w:p>
    <w:p>
      <w:pPr>
        <w:spacing w:before="0" w:after="100" w:line="252" w:lineRule="auto"/>
        <w:ind w:left="490" w:hanging="490"/>
      </w:pPr>
      <w:r>
        <w:rPr>
          <w:rFonts w:ascii="Calibri" w:hAnsi="Calibri" w:eastAsia="宋体"/>
          <w:b w:val="0"/>
          <w:i w:val="0"/>
          <w:color w:val="000000"/>
          <w:sz w:val="18"/>
        </w:rPr>
        <w:t>[15] A. E. Pena, L. Rincon-Gonzalez, J. J. Abbas, and R. Jung, “Effects of vibrotactile feedback and grasp interface compliance on perception and control of a sensorized myoelectric hand,” PLoS ONE, vol. 14, no. 1, Art. no. e0210956, 2019, doi: 10.1371/journal.pone.0210956.</w:t>
      </w:r>
    </w:p>
    <w:p>
      <w:pPr>
        <w:spacing w:before="0" w:after="100" w:line="252" w:lineRule="auto"/>
        <w:ind w:left="490" w:hanging="490"/>
      </w:pPr>
      <w:r>
        <w:rPr>
          <w:rFonts w:ascii="Calibri" w:hAnsi="Calibri" w:eastAsia="宋体"/>
          <w:b w:val="0"/>
          <w:i w:val="0"/>
          <w:color w:val="000000"/>
          <w:sz w:val="18"/>
        </w:rPr>
        <w:t>[16] T. J. Arakeri, B. A. Hasse, and A. J. Fuglevand, “Object discrimination using electrotactile feedback,” J. Neural Eng., vol. 15, no. 4, Art. no. 046007, 2018, doi: 10.1088/1741-2552/aabc9a.</w:t>
      </w:r>
    </w:p>
    <w:p>
      <w:pPr>
        <w:spacing w:before="0" w:after="100" w:line="252" w:lineRule="auto"/>
        <w:ind w:left="490" w:hanging="490"/>
      </w:pPr>
      <w:r>
        <w:rPr>
          <w:rFonts w:ascii="Calibri" w:hAnsi="Calibri" w:eastAsia="宋体"/>
          <w:b w:val="0"/>
          <w:i w:val="0"/>
          <w:color w:val="000000"/>
          <w:sz w:val="18"/>
        </w:rPr>
        <w:t>[17] F. Iberite et al., “Restoration of natural thermal sensation in upper-limb amputees,” Science, vol. 380, no. 6646, pp. 731–735, 2023, doi: 10.1126/science.adf6121.</w:t>
      </w:r>
    </w:p>
    <w:p>
      <w:pPr>
        <w:spacing w:before="0" w:after="100" w:line="252" w:lineRule="auto"/>
        <w:ind w:left="490" w:hanging="490"/>
      </w:pPr>
      <w:r>
        <w:rPr>
          <w:rFonts w:ascii="Calibri" w:hAnsi="Calibri" w:eastAsia="宋体"/>
          <w:b w:val="0"/>
          <w:i w:val="0"/>
          <w:color w:val="000000"/>
          <w:sz w:val="18"/>
        </w:rPr>
        <w:t>[18] J. Muheim, F. Iberite, O. Akouissi, R. Monney, F. Morosato, E. Gruppioni, S. Micera, and S. Shokur, “A sensory-motor hand prosthesis with integrated thermal feedback,” Med, vol. 5, no. 2, pp. 118–125.e5, 2024, doi: 10.1016/j.medj.2023.12.006.</w:t>
      </w:r>
    </w:p>
    <w:p>
      <w:pPr>
        <w:spacing w:before="0" w:after="100" w:line="252" w:lineRule="auto"/>
        <w:ind w:left="490" w:hanging="490"/>
      </w:pPr>
      <w:r>
        <w:rPr>
          <w:rFonts w:ascii="Calibri" w:hAnsi="Calibri" w:eastAsia="宋体"/>
          <w:b w:val="0"/>
          <w:i w:val="0"/>
          <w:color w:val="000000"/>
          <w:sz w:val="18"/>
        </w:rPr>
        <w:t>[19] A. Xie, C. Li, C.-H. Chou, T. Li, C. Dai, and N. Lan, “A hybrid sensory feedback system for thermal nociceptive warning and protection in prosthetic hand,” Front. Neurosci., vol. 18, Art. no. 1351348, 2024, doi: 10.3389/fnins.2024.1351348.</w:t>
      </w:r>
    </w:p>
    <w:p>
      <w:pPr>
        <w:spacing w:before="0" w:after="100" w:line="252" w:lineRule="auto"/>
        <w:ind w:left="490" w:hanging="490"/>
      </w:pPr>
      <w:r>
        <w:rPr>
          <w:rFonts w:ascii="Calibri" w:hAnsi="Calibri" w:eastAsia="宋体"/>
          <w:b w:val="0"/>
          <w:i w:val="0"/>
          <w:color w:val="000000"/>
          <w:sz w:val="18"/>
        </w:rPr>
        <w:t>[20] L. Jabban, S. Dupan, D. Zhang, B. Ainsworth, K. Nazarpour, and B. W. Metcalfe, “Sensory feedback for upper-limb prostheses: Opportunities and barriers,” IEEE Trans. Neural Syst. Rehabil. Eng., vol. 30, pp. 738–747, 2022, doi: 10.1109/TNSRE.2022.3159186.</w:t>
      </w:r>
    </w:p>
    <w:p>
      <w:pPr>
        <w:spacing w:before="0" w:after="100" w:line="252" w:lineRule="auto"/>
        <w:ind w:left="490" w:hanging="490"/>
      </w:pPr>
      <w:r>
        <w:rPr>
          <w:rFonts w:ascii="Calibri" w:hAnsi="Calibri" w:eastAsia="宋体"/>
          <w:b w:val="0"/>
          <w:i w:val="0"/>
          <w:color w:val="000000"/>
          <w:sz w:val="18"/>
        </w:rPr>
        <w:t>[21] U. Wijk, I. K. Carlsson, C. Antfolk, A. Björkman, and B. Rosén, “Sensory feedback in hand prostheses: A prospective study of everyday use,” Front. Neurosci., vol. 14, Art. no. 663, 2020, doi: 10.3389/fnins.2020.00663.</w:t>
      </w:r>
    </w:p>
    <w:p>
      <w:pPr>
        <w:spacing w:before="0" w:after="100" w:line="252" w:lineRule="auto"/>
        <w:ind w:left="490" w:hanging="490"/>
      </w:pPr>
      <w:r>
        <w:rPr>
          <w:rFonts w:ascii="Calibri" w:hAnsi="Calibri" w:eastAsia="宋体"/>
          <w:b w:val="0"/>
          <w:i w:val="0"/>
          <w:color w:val="000000"/>
          <w:sz w:val="18"/>
        </w:rPr>
        <w:t>[22] S. Raspopovic, G. Valle, and F. M. Petrini, “Sensory feedback for limb prostheses in amputees,” Nat. Mater., vol. 20, no. 7, pp. 925–939, 2021, doi: 10.1038/s41563-021-00966-9.</w:t>
      </w:r>
    </w:p>
    <w:p>
      <w:pPr>
        <w:spacing w:before="0" w:after="100" w:line="252" w:lineRule="auto"/>
        <w:ind w:left="490" w:hanging="490"/>
      </w:pPr>
      <w:r>
        <w:rPr>
          <w:rFonts w:ascii="Calibri" w:hAnsi="Calibri" w:eastAsia="宋体"/>
          <w:b w:val="0"/>
          <w:i w:val="0"/>
          <w:color w:val="000000"/>
          <w:sz w:val="18"/>
        </w:rPr>
        <w:t>[23] P. Svensson, U. Wijk, A. Björkman, and C. Antfolk, “A review of invasive and non-invasive sensory feedback in upper limb prostheses,” Expert Rev. Med. Devices, vol. 14, no. 6, pp. 439–447, 2017, doi: 10.1080/17434440.2017.1332989.</w:t>
      </w:r>
    </w:p>
    <w:p>
      <w:pPr>
        <w:spacing w:before="0" w:after="100" w:line="252" w:lineRule="auto"/>
        <w:ind w:left="490" w:hanging="490"/>
      </w:pPr>
      <w:r>
        <w:rPr>
          <w:rFonts w:ascii="Calibri" w:hAnsi="Calibri" w:eastAsia="宋体"/>
          <w:b w:val="0"/>
          <w:i w:val="0"/>
          <w:color w:val="000000"/>
          <w:sz w:val="18"/>
        </w:rPr>
        <w:t>[24] Ottobock, “bebionic Hand EQD,” [Online]. Available: https://www.ottobock.com/en-us/product/8E70-61081. [Accessed: Sep. 3, 2026].</w:t>
      </w:r>
    </w:p>
    <w:p>
      <w:pPr>
        <w:spacing w:before="0" w:after="100" w:line="252" w:lineRule="auto"/>
        <w:ind w:left="490" w:hanging="490"/>
      </w:pPr>
      <w:r>
        <w:rPr>
          <w:rFonts w:ascii="Calibri" w:hAnsi="Calibri" w:eastAsia="宋体"/>
          <w:b w:val="0"/>
          <w:i w:val="0"/>
          <w:color w:val="000000"/>
          <w:sz w:val="18"/>
        </w:rPr>
        <w:t>[25] Össur, “Introduction to i-Limb,” [Online]. Available: https://www.ossur.com/en-us/prosthetics/upper-limb-training/i-limb. [Accessed: Sep. 3, 2026].</w:t>
      </w:r>
    </w:p>
    <w:p>
      <w:pPr>
        <w:spacing w:before="0" w:after="100" w:line="252" w:lineRule="auto"/>
        <w:ind w:left="490" w:hanging="490"/>
      </w:pPr>
      <w:r>
        <w:rPr>
          <w:rFonts w:ascii="Calibri" w:hAnsi="Calibri" w:eastAsia="宋体"/>
          <w:b w:val="0"/>
          <w:i w:val="0"/>
          <w:color w:val="000000"/>
          <w:sz w:val="18"/>
        </w:rPr>
        <w:t>[26] Össur, “i-Limb mobile apps,” [Online]. Available: https://www.ossur.com/en-au/professionals/apps/i-limb-mobile-apps. [Accessed: Sep. 3, 2026].</w:t>
      </w:r>
    </w:p>
    <w:p>
      <w:pPr>
        <w:spacing w:before="0" w:after="100" w:line="252" w:lineRule="auto"/>
        <w:ind w:left="490" w:hanging="490"/>
      </w:pPr>
      <w:r>
        <w:rPr>
          <w:rFonts w:ascii="Calibri" w:hAnsi="Calibri" w:eastAsia="宋体"/>
          <w:b w:val="0"/>
          <w:i w:val="0"/>
          <w:color w:val="000000"/>
          <w:sz w:val="18"/>
        </w:rPr>
        <w:t>[27] TASKA Prosthetics, “TASKA HandGen2,” [Online]. Available: https://www.taskaprosthetics.com/products/taska-gen2/. [Accessed: Sep. 3, 2026].</w:t>
      </w:r>
    </w:p>
    <w:p>
      <w:pPr>
        <w:spacing w:before="0" w:after="100" w:line="252" w:lineRule="auto"/>
        <w:ind w:left="490" w:hanging="490"/>
      </w:pPr>
      <w:r>
        <w:rPr>
          <w:rFonts w:ascii="Calibri" w:hAnsi="Calibri" w:eastAsia="宋体"/>
          <w:b w:val="0"/>
          <w:i w:val="0"/>
          <w:color w:val="000000"/>
          <w:sz w:val="18"/>
        </w:rPr>
        <w:t>[28] Open Bionics, “Hero Arm,” [Online]. Available: https://openbionics.com/en/hero--arm/. [Accessed: Sep. 3, 2026].</w:t>
      </w:r>
    </w:p>
    <w:p>
      <w:pPr>
        <w:spacing w:before="0" w:after="100" w:line="252" w:lineRule="auto"/>
        <w:ind w:left="490" w:hanging="490"/>
      </w:pPr>
      <w:r>
        <w:rPr>
          <w:rFonts w:ascii="Calibri" w:hAnsi="Calibri" w:eastAsia="宋体"/>
          <w:b w:val="0"/>
          <w:i w:val="0"/>
          <w:color w:val="000000"/>
          <w:sz w:val="18"/>
        </w:rPr>
        <w:t>[29] PSYONIC, “Ability Hand,” [Online]. Available: https://www.psyonic.io/ability-hand. [Accessed: Sep. 3, 2026].</w:t>
      </w:r>
    </w:p>
    <w:p>
      <w:pPr>
        <w:spacing w:before="0" w:after="100" w:line="252" w:lineRule="auto"/>
        <w:ind w:left="490" w:hanging="490"/>
      </w:pPr>
      <w:r>
        <w:rPr>
          <w:rFonts w:ascii="Calibri" w:hAnsi="Calibri" w:eastAsia="宋体"/>
          <w:b w:val="0"/>
          <w:i w:val="0"/>
          <w:color w:val="000000"/>
          <w:sz w:val="18"/>
        </w:rPr>
        <w:t>[30] PSYONIC, “PSYONIC releases Ability Hand for research users,” [Online]. Available: https://www.psyonic.io/news/psyonic-releases-ability-hand-for-research-users. [Accessed: Sep. 3, 2026].</w:t>
      </w:r>
    </w:p>
    <w:p>
      <w:pPr>
        <w:spacing w:before="0" w:after="100" w:line="252" w:lineRule="auto"/>
        <w:ind w:left="490" w:hanging="490"/>
      </w:pPr>
      <w:r>
        <w:rPr>
          <w:rFonts w:ascii="Calibri" w:hAnsi="Calibri" w:eastAsia="宋体"/>
          <w:b w:val="0"/>
          <w:i w:val="0"/>
          <w:color w:val="000000"/>
          <w:sz w:val="18"/>
        </w:rPr>
        <w:t>[31] Mobius Bionics, “LUKE Arm System: Product specification sheet,” [Online]. Available: https://www.mobiusbionics.com/wp-content/uploads/2017/08/Mobius-Bionics-LUKE-Product-Spec-Sheet.pdf. [Accessed: Sep. 3, 2026].</w:t>
      </w:r>
    </w:p>
    <w:p>
      <w:pPr>
        <w:spacing w:before="0" w:after="100" w:line="252" w:lineRule="auto"/>
        <w:ind w:left="490" w:hanging="490"/>
      </w:pPr>
      <w:r>
        <w:rPr>
          <w:rFonts w:ascii="Calibri" w:hAnsi="Calibri" w:eastAsia="宋体"/>
          <w:b w:val="0"/>
          <w:i w:val="0"/>
          <w:color w:val="000000"/>
          <w:sz w:val="18"/>
        </w:rPr>
        <w:t>[32] COVVI, “COVVI Touch: Five digit sensory feedback,” [Online]. Available: https://www.covvi.com/covvi-hand/covvi-touch/. [Accessed: Sep. 3, 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7085"/>
        <w:sz w:val="18"/>
      </w:rPr>
      <w:t xml:space="preserve">第 </w:t>
    </w:r>
    <w:r>
      <w:fldChar w:fldCharType="begin"/>
      <w:instrText xml:space="preserve"> PAGE </w:instrText>
      <w:fldChar w:fldCharType="separate"/>
      <w:t>1</w:t>
      <w:fldChar w:fldCharType="end"/>
    </w:r>
    <w:r>
      <w:rPr>
        <w:rFonts w:ascii="Calibri" w:hAnsi="Calibri" w:eastAsia="宋体"/>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黑体"/>
        <w:b w:val="0"/>
        <w:i w:val="0"/>
        <w:color w:val="667085"/>
        <w:sz w:val="17"/>
      </w:rPr>
      <w:t>灵巧假肢感觉功能缺口与系统需求｜文献与市场调研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5F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5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感觉功能缺口与系统需求：文献调研和市场分析</dc:title>
  <dc:subject>灵巧假肢关节角度、指尖三维力和温度感知需求</dc:subject>
  <dc:creator/>
  <cp:keywords>灵巧假肢；感觉反馈；关节角度；三维力；温度；视觉依赖；系统需求</cp:keywords>
  <dc:description>基于公开学术文献与厂商官方资料整理，市场资料核验至2026年9月3日。</dc:description>
  <cp:lastModifiedBy/>
  <cp:revision>1</cp:revision>
  <dcterms:created xsi:type="dcterms:W3CDTF">2013-12-23T23:15:00Z</dcterms:created>
  <dcterms:modified xsi:type="dcterms:W3CDTF">2013-12-23T23:15:00Z</dcterms:modified>
  <cp:category/>
</cp:coreProperties>
</file>