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bealho"/>
        <w:tabs>
          <w:tab w:val="left" w:pos="708" w:leader="none"/>
          <w:tab w:val="center" w:pos="4419" w:leader="none"/>
          <w:tab w:val="right" w:pos="8838" w:leader="none"/>
        </w:tabs>
        <w:spacing w:before="120" w:after="12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Cabealho"/>
        <w:tabs>
          <w:tab w:val="left" w:pos="708" w:leader="none"/>
          <w:tab w:val="center" w:pos="4419" w:leader="none"/>
          <w:tab w:val="right" w:pos="8838" w:leader="none"/>
        </w:tabs>
        <w:spacing w:before="120" w:after="120"/>
        <w:jc w:val="both"/>
        <w:rPr>
          <w:rFonts w:ascii="Arial" w:hAnsi="Arial" w:cs="Calibri"/>
          <w:b/>
          <w:b/>
          <w:sz w:val="20"/>
          <w:szCs w:val="20"/>
        </w:rPr>
      </w:pPr>
      <w:r>
        <w:rPr>
          <w:rFonts w:cs="Calibri" w:ascii="Arial" w:hAnsi="Arial"/>
          <w:b/>
          <w:sz w:val="20"/>
          <w:szCs w:val="20"/>
        </w:rPr>
        <w:t>CONTRATO DE ADESÃO AOS SERVIÇOS DE ABASTECIMENTO DE ÁGUA, E/OU COLETA, AFASTAMENTO E TRATAMENTO DE ESGOTO SANITÁRIO.</w:t>
      </w:r>
    </w:p>
    <w:p>
      <w:pPr>
        <w:pStyle w:val="Cabealho"/>
        <w:tabs>
          <w:tab w:val="left" w:pos="708" w:leader="none"/>
          <w:tab w:val="center" w:pos="4419" w:leader="none"/>
          <w:tab w:val="left" w:pos="5970" w:leader="none"/>
          <w:tab w:val="right" w:pos="8838" w:leader="none"/>
        </w:tabs>
        <w:spacing w:before="120" w:after="120"/>
        <w:jc w:val="both"/>
        <w:rPr/>
      </w:pPr>
      <w:bookmarkStart w:id="0" w:name="__DdeLink__54_1030801615"/>
      <w:r>
        <w:rPr>
          <w:rFonts w:cs="Calibri" w:ascii="Arial" w:hAnsi="Arial"/>
          <w:b/>
          <w:sz w:val="20"/>
          <w:szCs w:val="20"/>
        </w:rPr>
        <w:t>MATRÍCULA DO IMÓVEL</w:t>
      </w:r>
      <w:bookmarkEnd w:id="0"/>
      <w:r>
        <w:rPr>
          <w:rFonts w:cs="Calibri" w:ascii="Arial" w:hAnsi="Arial"/>
          <w:sz w:val="20"/>
          <w:szCs w:val="20"/>
        </w:rPr>
        <w:t>: (${imovel-codigo} – ${imovel-logradouro})</w:t>
      </w:r>
    </w:p>
    <w:p>
      <w:pPr>
        <w:pStyle w:val="Cabealho"/>
        <w:tabs>
          <w:tab w:val="left" w:pos="708" w:leader="none"/>
          <w:tab w:val="center" w:pos="4419" w:leader="none"/>
          <w:tab w:val="left" w:pos="5970" w:leader="none"/>
          <w:tab w:val="right" w:pos="8838" w:leader="none"/>
        </w:tabs>
        <w:spacing w:before="120" w:after="120"/>
        <w:jc w:val="both"/>
        <w:rPr/>
      </w:pPr>
      <w:r>
        <w:rPr>
          <w:rFonts w:cs="Calibri" w:ascii="Arial" w:hAnsi="Arial"/>
          <w:b/>
          <w:sz w:val="20"/>
          <w:szCs w:val="20"/>
        </w:rPr>
        <w:t>CÓDIGO DO CONTRATO</w:t>
      </w:r>
      <w:r>
        <w:rPr>
          <w:rFonts w:cs="Calibri" w:ascii="Arial" w:hAnsi="Arial"/>
          <w:sz w:val="20"/>
          <w:szCs w:val="20"/>
        </w:rPr>
        <w:t>: ${contrato-codigo}</w:t>
      </w:r>
    </w:p>
    <w:p>
      <w:pPr>
        <w:pStyle w:val="Cabealho"/>
        <w:tabs>
          <w:tab w:val="left" w:pos="708" w:leader="none"/>
          <w:tab w:val="center" w:pos="4419" w:leader="none"/>
          <w:tab w:val="right" w:pos="8838" w:leader="none"/>
        </w:tabs>
        <w:spacing w:before="120" w:after="120"/>
        <w:jc w:val="both"/>
        <w:rPr/>
      </w:pPr>
      <w:r>
        <w:rPr>
          <w:rFonts w:cs="Calibri" w:ascii="Arial" w:hAnsi="Arial"/>
          <w:sz w:val="20"/>
          <w:szCs w:val="20"/>
        </w:rPr>
        <w:t xml:space="preserve">Este instrumento contratual é regido pela Lei Municipal nº 5625, de 26 de julho de 2016, Lei Municipal 5626, de 26 de julho de 2016, vinculado ao Regulamento dos Serviços de Água e Esgoto do Departamento de Água e Esgotos de Bagé – RSAE, e demais legislações aplicáveis, que é aceito de forma integral pelo usuário responsável pelo imóvel, a seguir identificado: </w:t>
      </w:r>
    </w:p>
    <w:p>
      <w:pPr>
        <w:pStyle w:val="Cabealho"/>
        <w:tabs>
          <w:tab w:val="left" w:pos="708" w:leader="none"/>
          <w:tab w:val="center" w:pos="4419" w:leader="none"/>
          <w:tab w:val="right" w:pos="8838" w:leader="none"/>
        </w:tabs>
        <w:spacing w:before="120" w:after="120"/>
        <w:jc w:val="both"/>
        <w:rPr>
          <w:rFonts w:ascii="Calibri" w:hAnsi="Calibri" w:cs="Calibri"/>
          <w:b/>
          <w:b/>
          <w:sz w:val="20"/>
          <w:szCs w:val="20"/>
        </w:rPr>
      </w:pPr>
      <w:r>
        <w:rPr>
          <w:rFonts w:cs="Calibri" w:ascii="Arial" w:hAnsi="Arial"/>
          <w:b/>
          <w:sz w:val="20"/>
          <w:szCs w:val="20"/>
        </w:rPr>
        <w:t xml:space="preserve">1 - PARTES: </w:t>
      </w:r>
    </w:p>
    <w:p>
      <w:pPr>
        <w:pStyle w:val="Cabealho"/>
        <w:tabs>
          <w:tab w:val="left" w:pos="708" w:leader="none"/>
          <w:tab w:val="center" w:pos="4419" w:leader="none"/>
          <w:tab w:val="right" w:pos="8838" w:leader="none"/>
        </w:tabs>
        <w:spacing w:before="120" w:after="120"/>
        <w:jc w:val="both"/>
        <w:rPr/>
      </w:pPr>
      <w:r>
        <w:rPr>
          <w:rFonts w:cs="Calibri" w:ascii="Arial" w:hAnsi="Arial"/>
          <w:sz w:val="20"/>
          <w:szCs w:val="20"/>
        </w:rPr>
        <w:t xml:space="preserve">DEPARTAMENTO DE ÁGUA E ESGOTOS DE BAGÉ, Autarquia de direito público municipal, inscrita no CNPJ 90.940.172/0001-38, com sede na Rua Marechal Deodoro, 451, aqui designada DAEB e de outro lado ${contrato-nome}, CPF/CNPJ ${contrato-documento}${contrato-identidade}, Endereço: ${contrato-endereco}, Cidade: </w:t>
      </w:r>
      <w:r>
        <w:rPr>
          <w:rFonts w:cs="Calibri" w:ascii="Arial" w:hAnsi="Arial"/>
          <w:sz w:val="20"/>
          <w:szCs w:val="20"/>
        </w:rPr>
        <w:t>Bagé</w:t>
      </w:r>
      <w:r>
        <w:rPr>
          <w:rFonts w:cs="Calibri" w:ascii="Arial" w:hAnsi="Arial"/>
          <w:sz w:val="20"/>
          <w:szCs w:val="20"/>
        </w:rPr>
        <w:t xml:space="preserve">, Estado: </w:t>
      </w:r>
      <w:r>
        <w:rPr>
          <w:rFonts w:cs="Calibri" w:ascii="Arial" w:hAnsi="Arial"/>
          <w:sz w:val="20"/>
          <w:szCs w:val="20"/>
        </w:rPr>
        <w:t>Rio Grande do Sul</w:t>
      </w:r>
      <w:r>
        <w:rPr>
          <w:rFonts w:cs="Calibri" w:ascii="Arial" w:hAnsi="Arial"/>
          <w:sz w:val="20"/>
          <w:szCs w:val="20"/>
        </w:rPr>
        <w:t>, doravante designado usuário.</w:t>
      </w:r>
    </w:p>
    <w:p>
      <w:pPr>
        <w:pStyle w:val="Cabealho"/>
        <w:tabs>
          <w:tab w:val="left" w:pos="708" w:leader="none"/>
          <w:tab w:val="center" w:pos="4419" w:leader="none"/>
          <w:tab w:val="right" w:pos="8838" w:leader="none"/>
        </w:tabs>
        <w:spacing w:before="120" w:after="120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Arial" w:hAnsi="Arial"/>
          <w:b/>
          <w:sz w:val="20"/>
          <w:szCs w:val="20"/>
        </w:rPr>
        <w:t>2 – DO OBJETO</w:t>
      </w:r>
      <w:r>
        <w:rPr>
          <w:rFonts w:cs="Calibri" w:ascii="Arial" w:hAnsi="Arial"/>
          <w:sz w:val="20"/>
          <w:szCs w:val="20"/>
        </w:rPr>
        <w:t xml:space="preserve">: </w:t>
      </w:r>
    </w:p>
    <w:p>
      <w:pPr>
        <w:pStyle w:val="Cabealho"/>
        <w:tabs>
          <w:tab w:val="left" w:pos="708" w:leader="none"/>
          <w:tab w:val="center" w:pos="4419" w:leader="none"/>
          <w:tab w:val="right" w:pos="8838" w:leader="none"/>
        </w:tabs>
        <w:spacing w:before="120" w:after="120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Arial" w:hAnsi="Arial"/>
          <w:sz w:val="20"/>
          <w:szCs w:val="20"/>
        </w:rPr>
        <w:t>Tem o presente CONTRATO DE ADESÃO, a finalidade de regular a prestação dos SERVIÇOS DE ABASTECIMENTO DE ÁGUA POTÁVEL E DE ESGOTAMENTO SANITÁRIO NO ÂMBITO DO MUNICÍPIO DE BAGÉ, mediante as seguintes cláusulas e condições:</w:t>
      </w:r>
    </w:p>
    <w:p>
      <w:pPr>
        <w:pStyle w:val="Cabealho"/>
        <w:tabs>
          <w:tab w:val="left" w:pos="708" w:leader="none"/>
          <w:tab w:val="center" w:pos="4419" w:leader="none"/>
          <w:tab w:val="right" w:pos="8838" w:leader="none"/>
        </w:tabs>
        <w:spacing w:before="120" w:after="120"/>
        <w:jc w:val="both"/>
        <w:rPr>
          <w:rFonts w:ascii="Calibri" w:hAnsi="Calibri" w:cs="Calibri"/>
          <w:b/>
          <w:b/>
          <w:sz w:val="20"/>
          <w:szCs w:val="20"/>
        </w:rPr>
      </w:pPr>
      <w:r>
        <w:rPr>
          <w:rFonts w:cs="Calibri" w:ascii="Arial" w:hAnsi="Arial"/>
          <w:b/>
          <w:sz w:val="20"/>
          <w:szCs w:val="20"/>
        </w:rPr>
        <w:t xml:space="preserve">3 – DAS CONDIÇÕES BÁSICAS DA PRESTAÇÃO DOS SERVIÇOS: </w:t>
      </w:r>
    </w:p>
    <w:p>
      <w:pPr>
        <w:pStyle w:val="Cabealho"/>
        <w:tabs>
          <w:tab w:val="left" w:pos="708" w:leader="none"/>
          <w:tab w:val="center" w:pos="4419" w:leader="none"/>
          <w:tab w:val="right" w:pos="8838" w:leader="none"/>
        </w:tabs>
        <w:spacing w:before="120" w:after="120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Arial" w:hAnsi="Arial"/>
          <w:sz w:val="20"/>
          <w:szCs w:val="20"/>
        </w:rPr>
        <w:t xml:space="preserve">3.1 – Principais obrigações da DAEB no atendimento dos serviços: </w:t>
      </w:r>
    </w:p>
    <w:p>
      <w:pPr>
        <w:pStyle w:val="Cabealho"/>
        <w:tabs>
          <w:tab w:val="left" w:pos="708" w:leader="none"/>
          <w:tab w:val="center" w:pos="4419" w:leader="none"/>
          <w:tab w:val="right" w:pos="8838" w:leader="none"/>
        </w:tabs>
        <w:spacing w:before="120" w:after="120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Arial" w:hAnsi="Arial"/>
          <w:sz w:val="20"/>
          <w:szCs w:val="20"/>
        </w:rPr>
        <w:t xml:space="preserve">a) Prestar os serviços públicos de abastecimento de água e esgotamento sanitário quando disponível, de acordo com os padrões de qualidade, de continuidade e de pressão na rede, de acordo com a legislação em vigor; b) Apresentar na fatura informações relativas à qualidade da água distribuída; c) Atender as solicitações do usuário nos prazos previstos no RSAE; d) Prestar informações num prazo de até 30 (trinta) dias, para os casos previstos no RSAE; e) Comunicar por escrito a substituição dos equipamentos de medição, indicando a leitura do medidor retirado e do instalado, conforme RSAE; f) Realizar, a pedido do usuário, aferição do hidrômetro e demais serviços disponibilizados pela Autarquia; g)Cobrar do usuário nos casos de impedimento de leitura provocado pelas situações referentes à condição do equipamento de medição –hidrômetro-, o valor do serviço básico correspondente à categoria de consumo do usuário, mais a média do consumo dos últimos 06(seis) meses anteriores ao mês em que a leitura não foi possível ser executada; h) Informar ao usuário da possibilidade de apresentar recursos e pedido de reexame à autoridade competente, como seus respectivos prazos, para os casos previstos no RSAE; i) Ressarcir os danos causados em função de defeitos na prestação dos serviços, conforme procedimento previsto no RSAE; j) Emitir notificação de suspensão dos serviços, no prazo não inferior a 30 (trinta) dias da data prevista para a suspensão; k) Restabelecer o fornecimento dos serviços nos prazos estabelecido no RSAE, contados a partir da data de regularização da situação que originou a suspensão, bem como da quitação das faturas vencidas; l) Emitir a declaração anual de quitação de débitos sem ônus ao usuário; m) Observar o procedimento previsto RSAE para a cobrança de multas e faturamentos a menor decorrentes de irregularidades de qualquer natureza; n) Informar o usuário, através da fatura, o percentual de reajuste e as revisão das tarifas com antecedência mínima de 30 (trinta) dias da data de inicio de sua vigência. </w:t>
      </w:r>
    </w:p>
    <w:p>
      <w:pPr>
        <w:pStyle w:val="Cabealho"/>
        <w:tabs>
          <w:tab w:val="left" w:pos="708" w:leader="none"/>
          <w:tab w:val="center" w:pos="4419" w:leader="none"/>
          <w:tab w:val="right" w:pos="8838" w:leader="none"/>
        </w:tabs>
        <w:spacing w:before="120" w:after="120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Arial" w:hAnsi="Arial"/>
          <w:sz w:val="20"/>
          <w:szCs w:val="20"/>
        </w:rPr>
        <w:t>3.2 – Principais obrigações do usuário no atendimento dos serviços:</w:t>
      </w:r>
    </w:p>
    <w:p>
      <w:pPr>
        <w:pStyle w:val="Cabealho"/>
        <w:tabs>
          <w:tab w:val="left" w:pos="708" w:leader="none"/>
          <w:tab w:val="center" w:pos="4419" w:leader="none"/>
          <w:tab w:val="right" w:pos="8838" w:leader="none"/>
        </w:tabs>
        <w:spacing w:before="120" w:after="120"/>
        <w:jc w:val="both"/>
        <w:rPr>
          <w:rFonts w:ascii="Arial" w:hAnsi="Arial"/>
        </w:rPr>
      </w:pPr>
      <w:r>
        <w:rPr>
          <w:rFonts w:cs="Calibri" w:ascii="Arial" w:hAnsi="Arial"/>
          <w:sz w:val="20"/>
          <w:szCs w:val="20"/>
        </w:rPr>
        <w:t xml:space="preserve">a) Providenciar, obrigatoriamente, a ligação de água e/ou esgotamento sanitário nos termos da legislação vigente; b) Manter a adequação técnica e a segurança das instalações prediais de água e/ou esgoto, de acordo com as normas legais, termos e condições estabelecidas nos regulamentos de instalações prediais e/ou condominiais de água e de esgotamento sanitário e RSAE do DAEB; c) Manter sob sua guarda os aparelhos de medição e a unidade padrão de ligação, instalados no imóvel, zelando como fiel depositário pela sua integridade; d) Informar corretamente a atividade exercida no imóvel, bem como toda e qualquer alteração; e) Garantir o livre acesso aos representantes do DAEB devidamente identificados, para fins de inspeção, cadastro, leitura e/ou substituições de hidrômetro, devendo ainda prestar todas as informações pertinentes à ligação de água e/ou esgotamento sanitário, quando solicitado pelo DAEB; f) Responsabilizar-se por dano causado decorrente de procedimento irregular ou de deficiência técnica ou de segurança das instalações prediais de água e/ou esgoto, sendo expressamente vedada a revenda de serviços de água, ligação clandestina, religação à revelia e/ou derivação indevida; g) Informar seus dados cadastrais, as alterações e responsabilizar-se pela veracidade dos mesmos; h) Solicitar, no prazo de 10 (dez) dias, a alteração cadastral e a respectiva conta final em caso de extinção da posse ou do direito de propriedade, desocupação do imóvel e resolução do contrato de locação; i) Em caso de alienação de imóvel, o adquirente ou vendedor deverá solicitar ao DAEB, em até 30 (trinta) dias, a alteração cadastral correspondente, apresentando documentação comprobatória; j) Efetuar o pagamento da respectiva fatura até a data do vencimento, sujeitando-se a suspensão do fornecimento do serviço nos casos de falta ou atraso de pagamento, bem como as demais medidas judiciais e extrajudiciais pertinentes à cobrança da dívida, nos termos do RSAE; k) Efetuar o pedido de ligação, imediatamente após a comunicação ao DAEB de disponibilidade dos serviços de coleta e afastamento do esgoto sanitário, quando o imóvel for abastecido por ligação de água, bem como efetuar o pedido de ligação ao sistema de abastecimento de água, quando o imóvel estiver ligado exclusivamente ao sistema público de esgotamento sanitário; l) Pagar o serviço básico fixado por economia, pela disponibilidade dos serviços; m) Cumprir fielmente as obrigações e determinações do RSAE do DAEB; n) Observar no uso dos sistemas de abastecimento de água e/ou esgotamento sanitário os padrões de qualidade estabelecidos nas normas e regulamentos pertinentes, em especial quanto aos lançamentos na rede coletora de esgoto, responsabilizando-se por todo e qualquer dano causado ao sistema e ao meio ambiente; o)Informar ao DAEB sobre a ocorrência de vazamentos externos e outros fatos que possam afetar a prestação dos serviços; p) Providenciar instalação de reservatório domiciliar com objetivo de regular o abastecimento de água, sempre que, por motivo de ordem técnica, for exigida pelo DAEB, devendo o mesmo ser projetado e instalado de acordo com as normas técnicas vigentes e aplicáveis, responsabilizando-se pela sua manutenção. </w:t>
      </w:r>
    </w:p>
    <w:p>
      <w:pPr>
        <w:pStyle w:val="Cabealho"/>
        <w:tabs>
          <w:tab w:val="left" w:pos="708" w:leader="none"/>
          <w:tab w:val="center" w:pos="4419" w:leader="none"/>
          <w:tab w:val="right" w:pos="8838" w:leader="none"/>
        </w:tabs>
        <w:spacing w:before="120" w:after="120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Arial" w:hAnsi="Arial"/>
          <w:b/>
          <w:sz w:val="20"/>
          <w:szCs w:val="20"/>
        </w:rPr>
        <w:t>4 – DOS CUSTOS DE CONEXÃO À REDE PÚBLICA:</w:t>
      </w:r>
      <w:r>
        <w:rPr>
          <w:rFonts w:cs="Calibri" w:ascii="Arial" w:hAnsi="Arial"/>
          <w:sz w:val="20"/>
          <w:szCs w:val="20"/>
        </w:rPr>
        <w:t xml:space="preserve"> </w:t>
      </w:r>
    </w:p>
    <w:p>
      <w:pPr>
        <w:pStyle w:val="Cabealho"/>
        <w:tabs>
          <w:tab w:val="left" w:pos="708" w:leader="none"/>
          <w:tab w:val="center" w:pos="4419" w:leader="none"/>
          <w:tab w:val="right" w:pos="8838" w:leader="none"/>
        </w:tabs>
        <w:spacing w:before="120" w:after="120"/>
        <w:jc w:val="both"/>
        <w:rPr>
          <w:rFonts w:ascii="Arial" w:hAnsi="Arial"/>
        </w:rPr>
      </w:pPr>
      <w:r>
        <w:rPr>
          <w:rFonts w:cs="Calibri" w:ascii="Arial" w:hAnsi="Arial"/>
          <w:sz w:val="20"/>
          <w:szCs w:val="20"/>
        </w:rPr>
        <w:t xml:space="preserve">4.1 – Cabe ao requerente usuário arcar com os custos da conexão ao sistema público de abastecimento de água e/ou esgotamento sanitário; 4.2 – Nos casos em que os custos de repavimentação da via pública e passeio público forem arcados pelo DAEB o usuário deverá ressarcir a Autarquia, conforme previsto na Tabela Tarifária vigente na data da solicitação. </w:t>
      </w:r>
    </w:p>
    <w:p>
      <w:pPr>
        <w:pStyle w:val="Cabealho"/>
        <w:tabs>
          <w:tab w:val="left" w:pos="708" w:leader="none"/>
          <w:tab w:val="center" w:pos="4419" w:leader="none"/>
          <w:tab w:val="right" w:pos="8838" w:leader="none"/>
        </w:tabs>
        <w:spacing w:before="120" w:after="120"/>
        <w:jc w:val="both"/>
        <w:rPr>
          <w:rFonts w:ascii="Arial" w:hAnsi="Arial"/>
        </w:rPr>
      </w:pPr>
      <w:r>
        <w:rPr>
          <w:rFonts w:cs="Calibri" w:ascii="Arial" w:hAnsi="Arial"/>
          <w:b/>
          <w:sz w:val="20"/>
          <w:szCs w:val="20"/>
        </w:rPr>
        <w:t>5 – DA VIGÊNCIA</w:t>
      </w:r>
      <w:r>
        <w:rPr>
          <w:rFonts w:cs="Calibri" w:ascii="Arial" w:hAnsi="Arial"/>
          <w:sz w:val="20"/>
          <w:szCs w:val="20"/>
        </w:rPr>
        <w:t xml:space="preserve">: </w:t>
      </w:r>
    </w:p>
    <w:p>
      <w:pPr>
        <w:pStyle w:val="Cabealho"/>
        <w:tabs>
          <w:tab w:val="left" w:pos="708" w:leader="none"/>
          <w:tab w:val="center" w:pos="4419" w:leader="none"/>
          <w:tab w:val="right" w:pos="8838" w:leader="none"/>
        </w:tabs>
        <w:spacing w:before="120" w:after="120"/>
        <w:jc w:val="both"/>
        <w:rPr>
          <w:rFonts w:ascii="Arial" w:hAnsi="Arial"/>
        </w:rPr>
      </w:pPr>
      <w:r>
        <w:rPr>
          <w:rFonts w:cs="Calibri" w:ascii="Arial" w:hAnsi="Arial"/>
          <w:sz w:val="20"/>
          <w:szCs w:val="20"/>
        </w:rPr>
        <w:t>Este contrato entra em vigor: 5.1 – A partir do recebimento do Contrato de Adesão, no caso de usuário responsável pelo imóvel com ligação de água e/ou esgotamento sanitário, nos termos do RSAE; 5.2 - A partir da data do pedido de prestação de serviços efetivado pelo Usuário; 5.3 – A vigência será por prazo indeterminado.</w:t>
      </w:r>
    </w:p>
    <w:p>
      <w:pPr>
        <w:pStyle w:val="Cabealho"/>
        <w:tabs>
          <w:tab w:val="left" w:pos="708" w:leader="none"/>
          <w:tab w:val="center" w:pos="4419" w:leader="none"/>
          <w:tab w:val="right" w:pos="8838" w:leader="none"/>
        </w:tabs>
        <w:spacing w:before="120" w:after="120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Arial" w:hAnsi="Arial"/>
          <w:b/>
          <w:sz w:val="20"/>
          <w:szCs w:val="20"/>
        </w:rPr>
        <w:t>6 – DA RESCISÃO:</w:t>
      </w:r>
      <w:r>
        <w:rPr>
          <w:rFonts w:cs="Calibri" w:ascii="Arial" w:hAnsi="Arial"/>
          <w:sz w:val="20"/>
          <w:szCs w:val="20"/>
        </w:rPr>
        <w:t xml:space="preserve"> Este contrato poderá ser rescindido nas seguintes condições: </w:t>
      </w:r>
    </w:p>
    <w:p>
      <w:pPr>
        <w:pStyle w:val="Cabealho"/>
        <w:tabs>
          <w:tab w:val="left" w:pos="708" w:leader="none"/>
          <w:tab w:val="center" w:pos="4419" w:leader="none"/>
          <w:tab w:val="right" w:pos="8838" w:leader="none"/>
        </w:tabs>
        <w:spacing w:before="120" w:after="120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Arial" w:hAnsi="Arial"/>
          <w:sz w:val="20"/>
          <w:szCs w:val="20"/>
        </w:rPr>
        <w:t xml:space="preserve">6.1 – Por ação do usuário, mediante pedido de desligamento dos serviços, observado o cumprimento da legislação aplicável; 6.2 – Por ação do DAEB, após 90 dias da suspensão do fornecimento, nos casos previstos no art. 9º da Lei 5626, de 26 de julho de 2016; 6.3 – A rescisão não está condicionada à quitação dos débitos, mas o usuário inadimplente estará sujeito à cobrança judicial e extrajudicial da dívida. </w:t>
      </w:r>
    </w:p>
    <w:p>
      <w:pPr>
        <w:pStyle w:val="Cabealho"/>
        <w:tabs>
          <w:tab w:val="left" w:pos="708" w:leader="none"/>
          <w:tab w:val="center" w:pos="4419" w:leader="none"/>
          <w:tab w:val="right" w:pos="8838" w:leader="none"/>
        </w:tabs>
        <w:spacing w:before="120" w:after="120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Arial" w:hAnsi="Arial"/>
          <w:b/>
          <w:sz w:val="20"/>
          <w:szCs w:val="20"/>
        </w:rPr>
        <w:t>7 – DOS RECURSOS ADMINISTRATIVOS</w:t>
      </w:r>
      <w:r>
        <w:rPr>
          <w:rFonts w:cs="Calibri" w:ascii="Arial" w:hAnsi="Arial"/>
          <w:sz w:val="20"/>
          <w:szCs w:val="20"/>
        </w:rPr>
        <w:t xml:space="preserve">: </w:t>
      </w:r>
    </w:p>
    <w:p>
      <w:pPr>
        <w:pStyle w:val="Cabealho"/>
        <w:tabs>
          <w:tab w:val="left" w:pos="708" w:leader="none"/>
          <w:tab w:val="center" w:pos="4419" w:leader="none"/>
          <w:tab w:val="right" w:pos="8838" w:leader="none"/>
        </w:tabs>
        <w:spacing w:before="120" w:after="120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Arial" w:hAnsi="Arial"/>
          <w:sz w:val="20"/>
          <w:szCs w:val="20"/>
        </w:rPr>
        <w:t>7.1 - Caso o usuário tenha solicitações ou reclamações sobre a prestação dos serviços deverá fazê-las ao setor competente do DAEB, e não concordando com o resultado obtido tem o direito de apresentar recurso ao Diretor da Autarquia, nos prazos e condições estabelecidos no RSAE.</w:t>
      </w:r>
    </w:p>
    <w:p>
      <w:pPr>
        <w:pStyle w:val="Cabealho"/>
        <w:tabs>
          <w:tab w:val="left" w:pos="708" w:leader="none"/>
          <w:tab w:val="center" w:pos="4419" w:leader="none"/>
          <w:tab w:val="right" w:pos="8838" w:leader="none"/>
        </w:tabs>
        <w:spacing w:before="120" w:after="120"/>
        <w:jc w:val="both"/>
        <w:rPr>
          <w:rFonts w:ascii="Calibri" w:hAnsi="Calibri" w:cs="Calibri"/>
          <w:b/>
          <w:b/>
          <w:sz w:val="20"/>
          <w:szCs w:val="20"/>
        </w:rPr>
      </w:pPr>
      <w:r>
        <w:rPr>
          <w:rFonts w:cs="Calibri" w:ascii="Arial" w:hAnsi="Arial"/>
          <w:b/>
          <w:sz w:val="20"/>
          <w:szCs w:val="20"/>
        </w:rPr>
        <w:t>8 – DAS DISPOSIÇÕES GERAIS:</w:t>
      </w:r>
    </w:p>
    <w:p>
      <w:pPr>
        <w:pStyle w:val="Cabealho"/>
        <w:tabs>
          <w:tab w:val="left" w:pos="708" w:leader="none"/>
          <w:tab w:val="center" w:pos="4419" w:leader="none"/>
          <w:tab w:val="right" w:pos="8838" w:leader="none"/>
        </w:tabs>
        <w:spacing w:before="120" w:after="120"/>
        <w:jc w:val="both"/>
        <w:rPr>
          <w:rFonts w:ascii="Arial" w:hAnsi="Arial"/>
        </w:rPr>
      </w:pPr>
      <w:r>
        <w:rPr>
          <w:rFonts w:cs="Calibri" w:ascii="Arial" w:hAnsi="Arial"/>
          <w:sz w:val="20"/>
          <w:szCs w:val="20"/>
        </w:rPr>
        <w:t>8.1 – Compete privativamente ao DAEB operar e executar reparos e modificações nas canalizações e instalações do serviço público do abastecimento de água e esgotamento sanitário, conforme previsto no RSAE; 8.2 – Não é permitida qualquer intervenção no ramal predial de água antes do hidrômetro e até a última conexão do quadro, bem como no ramal predial de esgoto, ficando o infrator sujeito à multa prevista na tabela de infrações; 8.3 – O DAEB poderá condicionar a ligação, religação, alterações contratuais ou contratação de fornecimentos especiais, solicitados por quem tenha quaisquer débitos, à quitação ou ao parcelamento de débitos; 8.4 – Enquanto o imóvel de qualquer usuário não possuir equipamento de medição – hidrômetro, a este imóvel deve ser atribuído o Serviço Básico correspondente a sua categoria de consumo e de acordo com a atividade desenvolvida no mesmo, mais a tarifa correspondente ao consumo máximo na primeira faixa de consumo; 8.5 – Eventual omissão do presente regular-se-á pela legislação aplicável, bem como pelo RSAE.</w:t>
      </w:r>
    </w:p>
    <w:p>
      <w:pPr>
        <w:pStyle w:val="Cabealho"/>
        <w:tabs>
          <w:tab w:val="left" w:pos="708" w:leader="none"/>
          <w:tab w:val="center" w:pos="4419" w:leader="none"/>
          <w:tab w:val="right" w:pos="8838" w:leader="none"/>
        </w:tabs>
        <w:spacing w:before="120" w:after="120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Arial" w:hAnsi="Arial"/>
          <w:b/>
          <w:sz w:val="20"/>
          <w:szCs w:val="20"/>
        </w:rPr>
        <w:t>9 – DO FORO:</w:t>
      </w:r>
    </w:p>
    <w:p>
      <w:pPr>
        <w:pStyle w:val="Cabealho"/>
        <w:tabs>
          <w:tab w:val="left" w:pos="708" w:leader="none"/>
          <w:tab w:val="center" w:pos="4419" w:leader="none"/>
          <w:tab w:val="right" w:pos="8838" w:leader="none"/>
        </w:tabs>
        <w:spacing w:before="120" w:after="120"/>
        <w:jc w:val="both"/>
        <w:rPr>
          <w:rFonts w:ascii="Arial" w:hAnsi="Arial"/>
        </w:rPr>
      </w:pPr>
      <w:r>
        <w:rPr>
          <w:rFonts w:cs="Calibri" w:ascii="Arial" w:hAnsi="Arial"/>
          <w:sz w:val="20"/>
          <w:szCs w:val="20"/>
        </w:rPr>
        <w:t xml:space="preserve">Fica eleito como foro para dirimir eventuais questões resultantes deste contrato a comarca onde está localizado o imóvel. </w:t>
      </w:r>
    </w:p>
    <w:p>
      <w:pPr>
        <w:pStyle w:val="Cabealho"/>
        <w:tabs>
          <w:tab w:val="left" w:pos="708" w:leader="none"/>
          <w:tab w:val="center" w:pos="4419" w:leader="none"/>
          <w:tab w:val="right" w:pos="8838" w:leader="none"/>
        </w:tabs>
        <w:spacing w:before="120" w:after="120"/>
        <w:jc w:val="both"/>
        <w:rPr/>
      </w:pPr>
      <w:r>
        <w:rPr>
          <w:rFonts w:cs="Calibri" w:ascii="Arial" w:hAnsi="Arial"/>
          <w:sz w:val="20"/>
          <w:szCs w:val="20"/>
        </w:rPr>
        <w:t>Bagé, RS, ${data-documento}.</w:t>
      </w:r>
    </w:p>
    <w:p>
      <w:pPr>
        <w:pStyle w:val="Cabealho"/>
        <w:tabs>
          <w:tab w:val="left" w:pos="708" w:leader="none"/>
          <w:tab w:val="center" w:pos="4419" w:leader="none"/>
          <w:tab w:val="right" w:pos="8838" w:leader="none"/>
        </w:tabs>
        <w:spacing w:before="120" w:after="120"/>
        <w:jc w:val="both"/>
        <w:rPr>
          <w:rFonts w:ascii="Arial" w:hAnsi="Arial" w:cs="Calibri"/>
          <w:sz w:val="20"/>
          <w:szCs w:val="20"/>
        </w:rPr>
      </w:pPr>
      <w:r>
        <w:rPr>
          <w:rFonts w:cs="Calibri" w:ascii="Arial" w:hAnsi="Arial"/>
          <w:sz w:val="20"/>
          <w:szCs w:val="20"/>
        </w:rPr>
      </w:r>
    </w:p>
    <w:p>
      <w:pPr>
        <w:pStyle w:val="Cabealho"/>
        <w:tabs>
          <w:tab w:val="left" w:pos="708" w:leader="none"/>
          <w:tab w:val="center" w:pos="4419" w:leader="none"/>
          <w:tab w:val="right" w:pos="8838" w:leader="none"/>
        </w:tabs>
        <w:spacing w:before="120" w:after="120"/>
        <w:jc w:val="both"/>
        <w:rPr>
          <w:rFonts w:ascii="Arial" w:hAnsi="Arial" w:cs="Calibri"/>
          <w:sz w:val="20"/>
          <w:szCs w:val="20"/>
        </w:rPr>
      </w:pPr>
      <w:r>
        <w:rPr>
          <w:rFonts w:cs="Calibri" w:ascii="Arial" w:hAnsi="Arial"/>
          <w:sz w:val="20"/>
          <w:szCs w:val="20"/>
        </w:rPr>
      </w:r>
    </w:p>
    <w:p>
      <w:pPr>
        <w:pStyle w:val="Cabealho"/>
        <w:tabs>
          <w:tab w:val="left" w:pos="708" w:leader="none"/>
          <w:tab w:val="center" w:pos="4419" w:leader="none"/>
          <w:tab w:val="right" w:pos="8838" w:leader="none"/>
        </w:tabs>
        <w:spacing w:before="120" w:after="120"/>
        <w:jc w:val="both"/>
        <w:rPr>
          <w:rFonts w:ascii="Arial" w:hAnsi="Arial" w:cs="Calibri"/>
          <w:sz w:val="20"/>
          <w:szCs w:val="20"/>
        </w:rPr>
      </w:pPr>
      <w:r>
        <w:rPr>
          <w:rFonts w:cs="Calibri" w:ascii="Arial" w:hAnsi="Arial"/>
          <w:sz w:val="20"/>
          <w:szCs w:val="20"/>
        </w:rPr>
      </w:r>
    </w:p>
    <w:p>
      <w:pPr>
        <w:pStyle w:val="Cabealho"/>
        <w:tabs>
          <w:tab w:val="left" w:pos="708" w:leader="none"/>
          <w:tab w:val="center" w:pos="4419" w:leader="none"/>
          <w:tab w:val="right" w:pos="8838" w:leader="none"/>
        </w:tabs>
        <w:spacing w:before="120" w:after="120"/>
        <w:jc w:val="both"/>
        <w:rPr>
          <w:rFonts w:ascii="Arial" w:hAnsi="Arial"/>
        </w:rPr>
      </w:pPr>
      <w:r>
        <w:rPr>
          <w:rFonts w:cs="Calibri" w:ascii="Arial" w:hAnsi="Arial"/>
          <w:sz w:val="20"/>
          <w:szCs w:val="20"/>
        </w:rPr>
        <w:t>________________________                                                      _________________________</w:t>
      </w:r>
    </w:p>
    <w:p>
      <w:pPr>
        <w:pStyle w:val="Normal"/>
        <w:tabs>
          <w:tab w:val="left" w:pos="708" w:leader="none"/>
          <w:tab w:val="left" w:pos="1416" w:leader="none"/>
          <w:tab w:val="left" w:pos="5670" w:leader="none"/>
        </w:tabs>
        <w:jc w:val="both"/>
        <w:rPr>
          <w:rFonts w:ascii="Calibri" w:hAnsi="Calibri" w:cs="Calibri"/>
          <w:sz w:val="20"/>
          <w:szCs w:val="20"/>
        </w:rPr>
      </w:pPr>
      <w:r>
        <w:rPr>
          <w:rFonts w:eastAsia="Calibri" w:cs="Calibri" w:ascii="Arial" w:hAnsi="Arial"/>
          <w:b/>
          <w:sz w:val="20"/>
          <w:szCs w:val="20"/>
        </w:rPr>
        <w:t xml:space="preserve">           </w:t>
      </w:r>
      <w:r>
        <w:rPr>
          <w:rFonts w:cs="Calibri" w:ascii="Arial" w:hAnsi="Arial"/>
          <w:b/>
          <w:sz w:val="20"/>
          <w:szCs w:val="20"/>
        </w:rPr>
        <w:t>DAEB</w:t>
        <w:tab/>
        <w:tab/>
        <w:tab/>
        <w:t>USUÁRIO</w:t>
      </w:r>
    </w:p>
    <w:p>
      <w:pPr>
        <w:pStyle w:val="Normal"/>
        <w:ind w:left="1416" w:firstLine="708"/>
        <w:rPr/>
      </w:pPr>
      <w:r>
        <w:rPr>
          <w:rFonts w:eastAsia="Calibri" w:cs="Calibri" w:ascii="Arial" w:hAnsi="Arial"/>
          <w:sz w:val="22"/>
          <w:szCs w:val="22"/>
        </w:rPr>
        <w:t xml:space="preserve">                                            </w:t>
      </w:r>
    </w:p>
    <w:sectPr>
      <w:headerReference w:type="default" r:id="rId2"/>
      <w:footerReference w:type="default" r:id="rId3"/>
      <w:type w:val="nextPage"/>
      <w:pgSz w:w="11906" w:h="16838"/>
      <w:pgMar w:left="2268" w:right="1107" w:header="1134" w:top="1985" w:footer="748" w:bottom="805" w:gutter="0"/>
      <w:pgNumType w:fmt="decimal"/>
      <w:formProt w:val="false"/>
      <w:textDirection w:val="lrTb"/>
      <w:docGrid w:type="default" w:linePitch="326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aramond">
    <w:charset w:val="01"/>
    <w:family w:val="roman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Verdana">
    <w:charset w:val="01"/>
    <w:family w:val="roman"/>
    <w:pitch w:val="variable"/>
  </w:font>
  <w:font w:name="Comic Sans MS"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left="-1560" w:hanging="0"/>
      <w:rPr/>
    </w:pPr>
    <w:r>
      <w:rPr/>
      <w:drawing>
        <wp:inline distT="0" distB="0" distL="0" distR="0">
          <wp:extent cx="6699885" cy="757555"/>
          <wp:effectExtent l="0" t="0" r="0" b="0"/>
          <wp:docPr id="2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99885" cy="7575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ind w:left="-1440" w:hanging="0"/>
      <w:rPr/>
    </w:pPr>
    <w:bookmarkStart w:id="1" w:name="_Hlk267301540"/>
    <w:bookmarkStart w:id="2" w:name="OLE_LINK8"/>
    <w:bookmarkStart w:id="3" w:name="OLE_LINK7"/>
    <w:bookmarkEnd w:id="1"/>
    <w:bookmarkEnd w:id="2"/>
    <w:bookmarkEnd w:id="3"/>
    <w:r>
      <w:rPr/>
      <w:drawing>
        <wp:inline distT="0" distB="0" distL="0" distR="0">
          <wp:extent cx="6697980" cy="1042670"/>
          <wp:effectExtent l="0" t="0" r="0" b="0"/>
          <wp:docPr id="1" name="Figur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97980" cy="10426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Ttulo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Ttulo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Ttulo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Ttulo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Ttulo6"/>
      <w:numFmt w:val="none"/>
      <w:suff w:val="nothing"/>
      <w:lvlText w:val=""/>
      <w:lvlJc w:val="left"/>
      <w:pPr>
        <w:ind w:left="1152" w:hanging="1152"/>
      </w:pPr>
    </w:lvl>
    <w:lvl w:ilvl="6">
      <w:start w:val="1"/>
      <w:pStyle w:val="Ttulo7"/>
      <w:numFmt w:val="none"/>
      <w:suff w:val="nothing"/>
      <w:lvlText w:val=""/>
      <w:lvlJc w:val="left"/>
      <w:pPr>
        <w:ind w:left="1296" w:hanging="1296"/>
      </w:pPr>
    </w:lvl>
    <w:lvl w:ilvl="7">
      <w:start w:val="1"/>
      <w:pStyle w:val="Ttulo8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Garamond" w:hAnsi="Garamond" w:eastAsia="Times New Roman" w:cs="Garamond"/>
      <w:color w:val="00000A"/>
      <w:sz w:val="28"/>
      <w:szCs w:val="24"/>
      <w:lang w:val="pt-BR" w:eastAsia="zh-CN" w:bidi="ar-SA"/>
    </w:rPr>
  </w:style>
  <w:style w:type="paragraph" w:styleId="Ttulo1">
    <w:name w:val="Heading 1"/>
    <w:basedOn w:val="Normal"/>
    <w:next w:val="Normal"/>
    <w:qFormat/>
    <w:pPr>
      <w:keepNext/>
      <w:numPr>
        <w:ilvl w:val="0"/>
        <w:numId w:val="1"/>
      </w:numPr>
      <w:ind w:firstLine="1080"/>
      <w:jc w:val="center"/>
      <w:outlineLvl w:val="0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  <w:outlineLvl w:val="1"/>
    </w:pPr>
    <w:rPr>
      <w:b/>
      <w:bCs/>
      <w:u w:val="single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  <w:outlineLvl w:val="2"/>
    </w:pPr>
    <w:rPr>
      <w:rFonts w:eastAsia="Arial Unicode MS" w:cs="Arial Unicode MS"/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ind w:firstLine="600"/>
      <w:jc w:val="both"/>
      <w:outlineLvl w:val="3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ind w:firstLine="540"/>
      <w:jc w:val="center"/>
      <w:outlineLvl w:val="4"/>
      <w:outlineLvl w:val="4"/>
    </w:pPr>
    <w:rPr>
      <w:rFonts w:ascii="Times New Roman" w:hAnsi="Times New Roman" w:cs="Times New Roman"/>
      <w:b/>
      <w:bCs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spacing w:lineRule="auto" w:line="480"/>
      <w:jc w:val="both"/>
      <w:outlineLvl w:val="5"/>
      <w:outlineLvl w:val="5"/>
    </w:pPr>
    <w:rPr>
      <w:rFonts w:ascii="Arial Narrow" w:hAnsi="Arial Narrow" w:cs="Arial Narrow"/>
      <w:b/>
      <w:bCs/>
      <w:sz w:val="24"/>
      <w:u w:val="single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spacing w:lineRule="auto" w:line="360"/>
      <w:ind w:firstLine="709"/>
      <w:jc w:val="both"/>
      <w:outlineLvl w:val="6"/>
      <w:outlineLvl w:val="6"/>
    </w:pPr>
    <w:rPr>
      <w:rFonts w:ascii="Arial" w:hAnsi="Arial" w:eastAsia="SimSun;宋体" w:cs="Arial"/>
      <w:b/>
      <w:bCs/>
      <w:sz w:val="24"/>
      <w:lang w:eastAsia="zh-CN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suppressAutoHyphens w:val="true"/>
      <w:outlineLvl w:val="7"/>
      <w:outlineLvl w:val="7"/>
    </w:pPr>
    <w:rPr>
      <w:rFonts w:ascii="Arial Narrow" w:hAnsi="Arial Narrow" w:cs="Arial Narrow"/>
      <w:b/>
      <w:sz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Arial Narrow" w:hAnsi="Arial Narrow" w:cs="Arial Narrow"/>
      <w:b w:val="false"/>
      <w:i w:val="false"/>
      <w:sz w:val="24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Fontepargpadro">
    <w:name w:val="Fonte parág. padrão"/>
    <w:qFormat/>
    <w:rPr/>
  </w:style>
  <w:style w:type="character" w:styleId="LinkdaInternet">
    <w:name w:val="Link da Internet"/>
    <w:rPr>
      <w:rFonts w:ascii="Verdana" w:hAnsi="Verdana" w:cs="Verdana"/>
      <w:strike w:val="false"/>
      <w:dstrike w:val="false"/>
      <w:color w:val="416488"/>
      <w:sz w:val="17"/>
      <w:szCs w:val="17"/>
      <w:u w:val="none"/>
    </w:rPr>
  </w:style>
  <w:style w:type="character" w:styleId="Nfaseforte">
    <w:name w:val="Ênfase forte"/>
    <w:qFormat/>
    <w:rPr>
      <w:b/>
      <w:bCs/>
    </w:rPr>
  </w:style>
  <w:style w:type="character" w:styleId="Caracteresdenotaderodap">
    <w:name w:val="Caracteres de nota de rodapé"/>
    <w:qFormat/>
    <w:rPr>
      <w:vertAlign w:val="superscript"/>
    </w:rPr>
  </w:style>
  <w:style w:type="character" w:styleId="Nfase">
    <w:name w:val="Ênfase"/>
    <w:qFormat/>
    <w:rPr>
      <w:i/>
      <w:iCs/>
    </w:rPr>
  </w:style>
  <w:style w:type="paragraph" w:styleId="Ttulo">
    <w:name w:val="Título"/>
    <w:basedOn w:val="Normal"/>
    <w:next w:val="Corpodetexto"/>
    <w:qFormat/>
    <w:pPr>
      <w:jc w:val="center"/>
    </w:pPr>
    <w:rPr>
      <w:rFonts w:ascii="Comic Sans MS" w:hAnsi="Comic Sans MS" w:cs="Comic Sans MS"/>
      <w:b/>
      <w:bCs/>
      <w:sz w:val="26"/>
      <w:szCs w:val="20"/>
    </w:rPr>
  </w:style>
  <w:style w:type="paragraph" w:styleId="Corpodetexto">
    <w:name w:val="Body Text"/>
    <w:basedOn w:val="Normal"/>
    <w:pPr>
      <w:tabs>
        <w:tab w:val="left" w:pos="-2160" w:leader="none"/>
      </w:tabs>
      <w:jc w:val="both"/>
    </w:pPr>
    <w:rPr>
      <w:rFonts w:ascii="Times New Roman" w:hAnsi="Times New Roman" w:cs="Times New Roman"/>
      <w:sz w:val="24"/>
    </w:rPr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Recuodecorpodetexto3">
    <w:name w:val="Recuo de corpo de texto 3"/>
    <w:basedOn w:val="Normal"/>
    <w:qFormat/>
    <w:pPr>
      <w:ind w:firstLine="540"/>
    </w:pPr>
    <w:rPr>
      <w:rFonts w:ascii="Times New Roman" w:hAnsi="Times New Roman" w:cs="Times New Roman"/>
      <w:sz w:val="24"/>
    </w:rPr>
  </w:style>
  <w:style w:type="paragraph" w:styleId="Corpodetextorecuado">
    <w:name w:val="Body Text Indent"/>
    <w:basedOn w:val="Normal"/>
    <w:pPr>
      <w:ind w:firstLine="720"/>
      <w:jc w:val="both"/>
    </w:pPr>
    <w:rPr/>
  </w:style>
  <w:style w:type="paragraph" w:styleId="Recuodecorpodetexto2">
    <w:name w:val="Recuo de corpo de texto 2"/>
    <w:basedOn w:val="Normal"/>
    <w:qFormat/>
    <w:pPr>
      <w:ind w:firstLine="600"/>
      <w:jc w:val="both"/>
    </w:pPr>
    <w:rPr/>
  </w:style>
  <w:style w:type="paragraph" w:styleId="Textoembloco">
    <w:name w:val="Texto em bloco"/>
    <w:basedOn w:val="Normal"/>
    <w:qFormat/>
    <w:pPr>
      <w:ind w:left="1200" w:right="720" w:hanging="0"/>
      <w:jc w:val="both"/>
    </w:pPr>
    <w:rPr>
      <w:rFonts w:ascii="Arial" w:hAnsi="Arial" w:cs="Arial"/>
      <w:sz w:val="22"/>
      <w:szCs w:val="22"/>
    </w:rPr>
  </w:style>
  <w:style w:type="paragraph" w:styleId="Western">
    <w:name w:val="western"/>
    <w:basedOn w:val="Normal"/>
    <w:qFormat/>
    <w:pPr>
      <w:suppressAutoHyphens w:val="true"/>
      <w:spacing w:before="280" w:after="0"/>
      <w:jc w:val="both"/>
    </w:pPr>
    <w:rPr>
      <w:rFonts w:ascii="Century Gothic" w:hAnsi="Century Gothic" w:cs="Century Gothic"/>
      <w:sz w:val="22"/>
      <w:szCs w:val="22"/>
    </w:rPr>
  </w:style>
  <w:style w:type="paragraph" w:styleId="MapadoDocumento">
    <w:name w:val="Mapa do Documento"/>
    <w:basedOn w:val="Normal"/>
    <w:qFormat/>
    <w:pPr>
      <w:shd w:val="clear" w:fill="000080"/>
    </w:pPr>
    <w:rPr>
      <w:rFonts w:ascii="Tahoma" w:hAnsi="Tahoma" w:cs="Tahoma"/>
      <w:sz w:val="20"/>
      <w:szCs w:val="20"/>
    </w:rPr>
  </w:style>
  <w:style w:type="paragraph" w:styleId="Corpodetexto2">
    <w:name w:val="Corpo de texto 2"/>
    <w:basedOn w:val="Normal"/>
    <w:qFormat/>
    <w:pPr>
      <w:jc w:val="both"/>
    </w:pPr>
    <w:rPr>
      <w:rFonts w:ascii="Arial Narrow" w:hAnsi="Arial Narrow" w:cs="Arial Narrow"/>
    </w:rPr>
  </w:style>
  <w:style w:type="paragraph" w:styleId="Corpodetexto3">
    <w:name w:val="Corpo de texto 3"/>
    <w:basedOn w:val="Normal"/>
    <w:qFormat/>
    <w:pPr>
      <w:jc w:val="both"/>
    </w:pPr>
    <w:rPr>
      <w:rFonts w:ascii="Arial" w:hAnsi="Arial" w:cs="Arial"/>
      <w:i/>
      <w:iCs/>
      <w:sz w:val="20"/>
      <w:szCs w:val="20"/>
    </w:rPr>
  </w:style>
  <w:style w:type="paragraph" w:styleId="Corpodetexto21">
    <w:name w:val="Corpo de texto 21"/>
    <w:basedOn w:val="Normal"/>
    <w:qFormat/>
    <w:pPr>
      <w:tabs>
        <w:tab w:val="left" w:pos="2835" w:leader="none"/>
        <w:tab w:val="left" w:pos="9356" w:leader="none"/>
      </w:tabs>
      <w:suppressAutoHyphens w:val="true"/>
      <w:ind w:right="-142" w:hanging="0"/>
    </w:pPr>
    <w:rPr>
      <w:rFonts w:ascii="Times New Roman" w:hAnsi="Times New Roman" w:cs="Times New Roman"/>
      <w:sz w:val="26"/>
      <w:szCs w:val="20"/>
    </w:rPr>
  </w:style>
  <w:style w:type="paragraph" w:styleId="Notaderodap">
    <w:name w:val="Footnote Text"/>
    <w:basedOn w:val="Normal"/>
    <w:pPr/>
    <w:rPr>
      <w:rFonts w:ascii="Times New Roman" w:hAnsi="Times New Roman" w:cs="Times New Roman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Application>LibreOffice/5.1.4.2$Linux_X86_64 LibreOffice_project/10m0$Build-2</Application>
  <Pages>3</Pages>
  <Words>1444</Words>
  <Characters>8017</Characters>
  <CharactersWithSpaces>9582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2016-11-30T10:44:00Z</dcterms:created>
  <dc:creator>angelo</dc:creator>
  <dc:description/>
  <dc:language>pt-BR</dc:language>
  <cp:lastModifiedBy/>
  <cp:lastPrinted>2016-12-14T12:38:00Z</cp:lastPrinted>
  <dcterms:modified xsi:type="dcterms:W3CDTF">2017-02-22T18:48:17Z</dcterms:modified>
  <cp:revision>22</cp:revision>
  <dc:subject/>
  <dc:title>PARA: DIRETORA</dc:title>
</cp:coreProperties>
</file>