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莆仙话拼音方案规范文档</w:t>
      </w:r>
    </w:p>
    <w:p>
      <w:pPr>
        <w:numPr>
          <w:numId w:val="1"/>
        </w:numPr>
        <w:spacing w:before="120" w:after="120" w:line="288" w:lineRule="auto"/>
        <w:ind w:left="0"/>
        <w:jc w:val="left"/>
      </w:pPr>
      <w:r>
        <w:rPr>
          <w:rFonts w:eastAsia="等线" w:ascii="Arial" w:cs="Arial" w:hAnsi="Arial"/>
          <w:color w:val="1f2329"/>
          <w:sz w:val="22"/>
        </w:rPr>
        <w:t>方案版本：1.0.0</w:t>
      </w:r>
    </w:p>
    <w:p>
      <w:pPr>
        <w:numPr>
          <w:numId w:val="2"/>
        </w:numPr>
        <w:spacing w:before="120" w:after="120" w:line="288" w:lineRule="auto"/>
        <w:ind w:left="0"/>
        <w:jc w:val="left"/>
      </w:pPr>
      <w:r>
        <w:rPr>
          <w:rFonts w:eastAsia="等线" w:ascii="Arial" w:cs="Arial" w:hAnsi="Arial"/>
          <w:color w:val="1f2329"/>
          <w:sz w:val="22"/>
        </w:rPr>
        <w:t>修订时间：2025年3月11日</w:t>
      </w:r>
    </w:p>
    <w:p>
      <w:pPr>
        <w:pStyle w:val="1"/>
        <w:spacing w:before="380" w:after="140" w:line="288" w:lineRule="auto"/>
        <w:ind w:left="0"/>
        <w:jc w:val="left"/>
        <w:outlineLvl w:val="0"/>
      </w:pPr>
      <w:bookmarkStart w:name="heading_0" w:id="0"/>
      <w:r>
        <w:rPr>
          <w:rFonts w:eastAsia="等线" w:ascii="Arial" w:cs="Arial" w:hAnsi="Arial"/>
          <w:b w:val="true"/>
          <w:sz w:val="36"/>
        </w:rPr>
        <w:t>介绍</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定义</w:t>
      </w:r>
      <w:bookmarkEnd w:id="1"/>
    </w:p>
    <w:p>
      <w:pPr>
        <w:numPr>
          <w:numId w:val="3"/>
        </w:numPr>
        <w:spacing w:before="120" w:after="120" w:line="288" w:lineRule="auto"/>
        <w:ind w:left="0"/>
        <w:jc w:val="left"/>
      </w:pPr>
      <w:r>
        <w:rPr>
          <w:rFonts w:eastAsia="等线" w:ascii="Arial" w:cs="Arial" w:hAnsi="Arial"/>
          <w:sz w:val="22"/>
        </w:rPr>
        <w:t>莆仙话拼音方案，简称“莆拼”，是一套用于标注莆仙话音系的拼音方案。</w:t>
      </w:r>
    </w:p>
    <w:p>
      <w:pPr>
        <w:numPr>
          <w:numId w:val="4"/>
        </w:numPr>
        <w:spacing w:before="120" w:after="120" w:line="288" w:lineRule="auto"/>
        <w:ind w:left="0"/>
        <w:jc w:val="left"/>
      </w:pPr>
      <w:r>
        <w:rPr>
          <w:rFonts w:eastAsia="等线" w:ascii="Arial" w:cs="Arial" w:hAnsi="Arial"/>
          <w:sz w:val="22"/>
        </w:rPr>
        <w:t>莆拼由莆仙乡音社指定，并最早应用在</w:t>
      </w:r>
      <w:hyperlink r:id="rId5">
        <w:r>
          <w:rPr>
            <w:rFonts w:eastAsia="等线" w:ascii="Arial" w:cs="Arial" w:hAnsi="Arial"/>
            <w:color w:val="3370ff"/>
            <w:sz w:val="22"/>
          </w:rPr>
          <w:t>莆仙乡音社</w:t>
        </w:r>
      </w:hyperlink>
      <w:r>
        <w:rPr>
          <w:rFonts w:eastAsia="等线" w:ascii="Arial" w:cs="Arial" w:hAnsi="Arial"/>
          <w:sz w:val="22"/>
        </w:rPr>
        <w:t>相关账号的文章和视频中，也应用于</w:t>
      </w:r>
      <w:hyperlink r:id="rId6">
        <w:r>
          <w:rPr>
            <w:rFonts w:eastAsia="等线" w:ascii="Arial" w:cs="Arial" w:hAnsi="Arial"/>
            <w:color w:val="3370ff"/>
            <w:sz w:val="22"/>
          </w:rPr>
          <w:t>兴化语记</w:t>
        </w:r>
      </w:hyperlink>
      <w:r>
        <w:rPr>
          <w:rFonts w:eastAsia="等线" w:ascii="Arial" w:cs="Arial" w:hAnsi="Arial"/>
          <w:sz w:val="22"/>
        </w:rPr>
        <w:t>、</w:t>
      </w:r>
      <w:hyperlink r:id="rId7">
        <w:r>
          <w:rPr>
            <w:rFonts w:eastAsia="等线" w:ascii="Arial" w:cs="Arial" w:hAnsi="Arial"/>
            <w:color w:val="3370ff"/>
            <w:sz w:val="22"/>
          </w:rPr>
          <w:t>莆仙话输入法</w:t>
        </w:r>
      </w:hyperlink>
      <w:r>
        <w:rPr>
          <w:rFonts w:eastAsia="等线" w:ascii="Arial" w:cs="Arial" w:hAnsi="Arial"/>
          <w:sz w:val="22"/>
        </w:rPr>
        <w:t>等平台。</w:t>
      </w:r>
    </w:p>
    <w:p>
      <w:pPr>
        <w:numPr>
          <w:numId w:val="5"/>
        </w:numPr>
        <w:spacing w:before="120" w:after="120" w:line="288" w:lineRule="auto"/>
        <w:ind w:left="0"/>
        <w:jc w:val="left"/>
      </w:pPr>
      <w:r>
        <w:rPr>
          <w:rFonts w:eastAsia="等线" w:ascii="Arial" w:cs="Arial" w:hAnsi="Arial"/>
          <w:sz w:val="22"/>
        </w:rPr>
        <w:t>莆拼含键入式与手写式（暂定）两个方案。</w:t>
      </w:r>
    </w:p>
    <w:p>
      <w:pPr>
        <w:numPr>
          <w:numId w:val="6"/>
        </w:numPr>
        <w:spacing w:before="120" w:after="120" w:line="288" w:lineRule="auto"/>
        <w:ind w:left="453"/>
        <w:jc w:val="left"/>
      </w:pPr>
      <w:r>
        <w:rPr>
          <w:rFonts w:eastAsia="等线" w:ascii="Arial" w:cs="Arial" w:hAnsi="Arial"/>
          <w:sz w:val="22"/>
        </w:rPr>
        <w:t xml:space="preserve">键入式的目的是为了方便在电子产品上使用26键键盘输入，以方便资料的数字化，以及满足日常网上交流的需求。特点是：在26个字母以外的元音，使用2个字母来表示，如 or表示/ɒ/；使用数字调号表示声调，如 </w:t>
      </w:r>
      <w:r>
        <w:rPr>
          <w:rFonts w:eastAsia="等线" w:ascii="Arial" w:cs="Arial" w:hAnsi="Arial"/>
          <w:color w:val="1f2329"/>
          <w:sz w:val="22"/>
        </w:rPr>
        <w:t>a¹代表阴平调的/a/。</w:t>
      </w:r>
    </w:p>
    <w:p>
      <w:pPr>
        <w:numPr>
          <w:numId w:val="7"/>
        </w:numPr>
        <w:spacing w:before="120" w:after="120" w:line="288" w:lineRule="auto"/>
        <w:ind w:left="453"/>
        <w:jc w:val="left"/>
      </w:pPr>
      <w:r>
        <w:rPr>
          <w:rFonts w:eastAsia="等线" w:ascii="Arial" w:cs="Arial" w:hAnsi="Arial"/>
          <w:sz w:val="22"/>
        </w:rPr>
        <w:t>手写式（暂定）的目的是为了在现实生活中方便手写记录、开展教学。特点是：使用调符标注声调，如 á代表阳平调的/a/。在有鼻化地区，使用上标ⁿ表示鼻化音。元音部分为手写方便，实行一个元音一个符号，如：/ɒ/转写为</w:t>
      </w:r>
      <w:r>
        <w:rPr>
          <w:rFonts w:eastAsia="等线" w:ascii="Arial" w:cs="Arial" w:hAnsi="Arial"/>
          <w:color w:val="1f2329"/>
          <w:sz w:val="22"/>
        </w:rPr>
        <w:t>ö</w:t>
      </w:r>
      <w:r>
        <w:rPr>
          <w:rFonts w:eastAsia="等线" w:ascii="Arial" w:cs="Arial" w:hAnsi="Arial"/>
          <w:sz w:val="22"/>
        </w:rPr>
        <w:t>。辅音部分与键入式相同。</w:t>
      </w:r>
    </w:p>
    <w:p>
      <w:pPr>
        <w:numPr>
          <w:numId w:val="8"/>
        </w:numPr>
        <w:spacing w:before="120" w:after="120" w:line="288" w:lineRule="auto"/>
        <w:ind w:left="0"/>
        <w:jc w:val="left"/>
      </w:pPr>
      <w:r>
        <w:rPr>
          <w:rFonts w:eastAsia="等线" w:ascii="Arial" w:cs="Arial" w:hAnsi="Arial"/>
          <w:sz w:val="22"/>
        </w:rPr>
        <w:t>本方案规范氛围主方案和分册。</w:t>
      </w:r>
    </w:p>
    <w:p>
      <w:pPr>
        <w:numPr>
          <w:numId w:val="9"/>
        </w:numPr>
        <w:spacing w:before="120" w:after="120" w:line="288" w:lineRule="auto"/>
        <w:ind w:left="453"/>
        <w:jc w:val="left"/>
      </w:pPr>
      <w:r>
        <w:rPr>
          <w:rFonts w:eastAsia="等线" w:ascii="Arial" w:cs="Arial" w:hAnsi="Arial"/>
          <w:sz w:val="22"/>
        </w:rPr>
        <w:t>主方案即本文。包括综述方案的设计原则、符号的定义、使用的规范和方案的修订管理。</w:t>
      </w:r>
    </w:p>
    <w:p>
      <w:pPr>
        <w:numPr>
          <w:numId w:val="10"/>
        </w:numPr>
        <w:spacing w:before="120" w:after="120" w:line="288" w:lineRule="auto"/>
        <w:ind w:left="453"/>
        <w:jc w:val="left"/>
      </w:pPr>
      <w:r>
        <w:rPr>
          <w:rFonts w:eastAsia="等线" w:ascii="Arial" w:cs="Arial" w:hAnsi="Arial"/>
          <w:sz w:val="22"/>
        </w:rPr>
        <w:t>分册将对莆仙地区各地音系作出个性化处理，以达到兼容目的，并提供详细的用法举例，供各地区使用者参考。</w:t>
      </w:r>
    </w:p>
    <w:p>
      <w:pPr>
        <w:numPr>
          <w:numId w:val="11"/>
        </w:numPr>
        <w:spacing w:before="120" w:after="120" w:line="288" w:lineRule="auto"/>
        <w:ind w:left="907"/>
        <w:jc w:val="left"/>
      </w:pPr>
      <w:hyperlink r:id="rId8">
        <w:r>
          <w:rPr>
            <w:rFonts w:eastAsia="等线" w:ascii="Arial" w:cs="Arial" w:hAnsi="Arial"/>
            <w:color w:val="3370ff"/>
            <w:sz w:val="22"/>
          </w:rPr>
          <w:t>莆拼方案规范文档分册：莆田洋面</w:t>
        </w:r>
      </w:hyperlink>
    </w:p>
    <w:p>
      <w:pPr>
        <w:numPr>
          <w:numId w:val="12"/>
        </w:numPr>
        <w:spacing w:before="120" w:after="120" w:line="288" w:lineRule="auto"/>
        <w:ind w:left="907"/>
        <w:jc w:val="left"/>
      </w:pPr>
      <w:r>
        <w:rPr>
          <w:rFonts w:eastAsia="等线" w:ascii="Arial" w:cs="Arial" w:hAnsi="Arial"/>
          <w:sz w:val="22"/>
        </w:rPr>
        <w:t>仙游城关</w:t>
      </w:r>
    </w:p>
    <w:p>
      <w:pPr>
        <w:pStyle w:val="2"/>
        <w:spacing w:before="320" w:after="120" w:line="288" w:lineRule="auto"/>
        <w:ind w:left="0"/>
        <w:jc w:val="left"/>
        <w:outlineLvl w:val="1"/>
      </w:pPr>
      <w:bookmarkStart w:name="heading_2" w:id="2"/>
      <w:r>
        <w:rPr>
          <w:rFonts w:eastAsia="等线" w:ascii="Arial" w:cs="Arial" w:hAnsi="Arial"/>
          <w:b w:val="true"/>
          <w:sz w:val="32"/>
        </w:rPr>
        <w:t>发展历史</w:t>
      </w:r>
      <w:bookmarkEnd w:id="2"/>
    </w:p>
    <w:p>
      <w:pPr>
        <w:numPr>
          <w:numId w:val="13"/>
        </w:numPr>
        <w:spacing w:before="120" w:after="120" w:line="288" w:lineRule="auto"/>
        <w:ind w:left="0"/>
        <w:jc w:val="left"/>
      </w:pPr>
      <w:r>
        <w:rPr>
          <w:rFonts w:eastAsia="等线" w:ascii="Arial" w:cs="Arial" w:hAnsi="Arial"/>
          <w:sz w:val="22"/>
        </w:rPr>
        <w:t>第一阶段（2019~2020）方案初稿由莆仙乡音社于2019年下半年设计。设计思路是尽量贴近汉语拼音以降低学习门槛，要求在26字母框架内以追求键入方便，同时也要兼顾语言学上的科学性，并兼容各地口音，做到一套方案通行全域。但当时仅有草稿，未形成有效文档，发表出来的仅有b站</w:t>
      </w:r>
      <w:hyperlink r:id="rId9">
        <w:r>
          <w:rPr>
            <w:rFonts w:eastAsia="等线" w:ascii="Arial" w:cs="Arial" w:hAnsi="Arial"/>
            <w:color w:val="3370ff"/>
            <w:sz w:val="22"/>
          </w:rPr>
          <w:t>视频教程</w:t>
        </w:r>
      </w:hyperlink>
      <w:r>
        <w:rPr>
          <w:rFonts w:eastAsia="等线" w:ascii="Arial" w:cs="Arial" w:hAnsi="Arial"/>
          <w:sz w:val="22"/>
        </w:rPr>
        <w:t>一则，公众号</w:t>
      </w:r>
      <w:hyperlink r:id="rId10">
        <w:r>
          <w:rPr>
            <w:rFonts w:eastAsia="等线" w:ascii="Arial" w:cs="Arial" w:hAnsi="Arial"/>
            <w:color w:val="3370ff"/>
            <w:sz w:val="22"/>
          </w:rPr>
          <w:t>文章</w:t>
        </w:r>
      </w:hyperlink>
      <w:r>
        <w:rPr>
          <w:rFonts w:eastAsia="等线" w:ascii="Arial" w:cs="Arial" w:hAnsi="Arial"/>
          <w:sz w:val="22"/>
        </w:rPr>
        <w:t>一篇。该方案支持的代表性口音有：莆田城里、洋面、江口、大洋、埭头、东庄、仙游城关、枫亭。</w:t>
      </w:r>
    </w:p>
    <w:p>
      <w:pPr>
        <w:numPr>
          <w:numId w:val="14"/>
        </w:numPr>
        <w:spacing w:before="120" w:after="120" w:line="288" w:lineRule="auto"/>
        <w:ind w:left="0"/>
        <w:jc w:val="left"/>
      </w:pPr>
      <w:r>
        <w:rPr>
          <w:rFonts w:eastAsia="等线" w:ascii="Arial" w:cs="Arial" w:hAnsi="Arial"/>
          <w:sz w:val="22"/>
        </w:rPr>
        <w:t>第二阶段（2021~2024）后续在实际应用的过程中，经过广大网友反馈，进行了微调修订，后续莆仙乡音社相关的账号视频以及兴化语记的资料，皆采用这版方案。此次修订内容如下：</w:t>
      </w:r>
    </w:p>
    <w:p>
      <w:pPr>
        <w:numPr>
          <w:numId w:val="15"/>
        </w:numPr>
        <w:spacing w:before="120" w:after="120" w:line="288" w:lineRule="auto"/>
        <w:ind w:left="453"/>
        <w:jc w:val="left"/>
      </w:pPr>
      <w:r>
        <w:rPr>
          <w:rFonts w:eastAsia="等线" w:ascii="Arial" w:cs="Arial" w:hAnsi="Arial"/>
          <w:sz w:val="22"/>
        </w:rPr>
        <w:t>[au] au&gt;ao</w:t>
      </w:r>
    </w:p>
    <w:p>
      <w:pPr>
        <w:numPr>
          <w:numId w:val="16"/>
        </w:numPr>
        <w:spacing w:before="120" w:after="120" w:line="288" w:lineRule="auto"/>
        <w:ind w:left="453"/>
        <w:jc w:val="left"/>
      </w:pPr>
      <w:r>
        <w:rPr>
          <w:rFonts w:eastAsia="等线" w:ascii="Arial" w:cs="Arial" w:hAnsi="Arial"/>
          <w:sz w:val="22"/>
        </w:rPr>
        <w:t>[ieu] ieu&gt;ieo</w:t>
      </w:r>
    </w:p>
    <w:p>
      <w:pPr>
        <w:numPr>
          <w:numId w:val="17"/>
        </w:numPr>
        <w:spacing w:before="120" w:after="120" w:line="288" w:lineRule="auto"/>
        <w:ind w:left="453"/>
        <w:jc w:val="left"/>
      </w:pPr>
      <w:r>
        <w:rPr>
          <w:rFonts w:eastAsia="等线" w:ascii="Arial" w:cs="Arial" w:hAnsi="Arial"/>
          <w:sz w:val="22"/>
        </w:rPr>
        <w:t>[β] bh&gt;v</w:t>
      </w:r>
    </w:p>
    <w:p>
      <w:pPr>
        <w:numPr>
          <w:numId w:val="18"/>
        </w:numPr>
        <w:spacing w:before="120" w:after="120" w:line="288" w:lineRule="auto"/>
        <w:ind w:left="453"/>
        <w:jc w:val="left"/>
      </w:pPr>
      <w:r>
        <w:rPr>
          <w:rFonts w:eastAsia="等线" w:ascii="Arial" w:cs="Arial" w:hAnsi="Arial"/>
          <w:sz w:val="22"/>
        </w:rPr>
        <w:t xml:space="preserve">放弃-n表示鼻化，转用手写式 ⁿ </w:t>
      </w:r>
    </w:p>
    <w:p>
      <w:pPr>
        <w:numPr>
          <w:numId w:val="19"/>
        </w:numPr>
        <w:spacing w:before="120" w:after="120" w:line="288" w:lineRule="auto"/>
        <w:ind w:left="0"/>
        <w:jc w:val="left"/>
      </w:pPr>
      <w:r>
        <w:rPr>
          <w:rFonts w:eastAsia="等线" w:ascii="Arial" w:cs="Arial" w:hAnsi="Arial"/>
          <w:sz w:val="22"/>
        </w:rPr>
        <w:t>第三阶段（2025年至今）将修改之前的不合理之处，进一步完善方案，并提供规范手册，发布兼容更多地区口音的方案。</w:t>
      </w:r>
    </w:p>
    <w:p>
      <w:pPr>
        <w:pStyle w:val="2"/>
        <w:spacing w:before="320" w:after="120" w:line="288" w:lineRule="auto"/>
        <w:ind w:left="0"/>
        <w:jc w:val="left"/>
        <w:outlineLvl w:val="1"/>
      </w:pPr>
      <w:bookmarkStart w:name="heading_3" w:id="3"/>
      <w:r>
        <w:rPr>
          <w:rFonts w:eastAsia="等线" w:ascii="Arial" w:cs="Arial" w:hAnsi="Arial"/>
          <w:b w:val="true"/>
          <w:sz w:val="32"/>
        </w:rPr>
        <w:t>其他方案回顾</w:t>
      </w:r>
      <w:bookmarkEnd w:id="3"/>
    </w:p>
    <w:p>
      <w:pPr>
        <w:numPr>
          <w:numId w:val="20"/>
        </w:numPr>
        <w:spacing w:before="120" w:after="120" w:line="288" w:lineRule="auto"/>
        <w:ind w:left="0"/>
        <w:jc w:val="left"/>
      </w:pPr>
      <w:r>
        <w:rPr>
          <w:rFonts w:eastAsia="等线" w:ascii="Arial" w:cs="Arial" w:hAnsi="Arial"/>
          <w:sz w:val="22"/>
        </w:rPr>
        <w:t>兴化平话字</w:t>
      </w:r>
    </w:p>
    <w:p>
      <w:pPr>
        <w:numPr>
          <w:numId w:val="21"/>
        </w:numPr>
        <w:spacing w:before="120" w:after="120" w:line="288" w:lineRule="auto"/>
        <w:ind w:left="453"/>
        <w:jc w:val="left"/>
      </w:pPr>
      <w:r>
        <w:rPr>
          <w:rFonts w:eastAsia="等线" w:ascii="Arial" w:cs="Arial" w:hAnsi="Arial"/>
          <w:sz w:val="22"/>
        </w:rPr>
        <w:t>简介：兴化平话字（Hing-hua̍-báⁿ-uā-cī），又称兴化罗马字，外文名称Hinghwa Romanized，诞生于1890年，由</w:t>
      </w:r>
      <w:r>
        <w:rPr>
          <w:rFonts w:eastAsia="等线" w:ascii="Arial" w:cs="Arial" w:hAnsi="Arial"/>
          <w:sz w:val="22"/>
        </w:rPr>
        <w:t>基督教美以美会</w:t>
      </w:r>
      <w:r>
        <w:rPr>
          <w:rFonts w:eastAsia="等线" w:ascii="Arial" w:cs="Arial" w:hAnsi="Arial"/>
          <w:sz w:val="22"/>
        </w:rPr>
        <w:t>传教士威廉·蒲鲁士夫妇发明并推行，是历史上第一种用于书写莆仙语（兴化语）的罗马拼音系统。</w:t>
      </w:r>
    </w:p>
    <w:p>
      <w:pPr>
        <w:numPr>
          <w:numId w:val="22"/>
        </w:numPr>
        <w:spacing w:before="120" w:after="120" w:line="288" w:lineRule="auto"/>
        <w:ind w:left="453"/>
        <w:jc w:val="left"/>
      </w:pPr>
      <w:r>
        <w:rPr>
          <w:rFonts w:eastAsia="等线" w:ascii="Arial" w:cs="Arial" w:hAnsi="Arial"/>
          <w:sz w:val="22"/>
        </w:rPr>
        <w:t>兴化平话字的痛点：</w:t>
      </w:r>
    </w:p>
    <w:p>
      <w:pPr>
        <w:numPr>
          <w:numId w:val="23"/>
        </w:numPr>
        <w:spacing w:before="120" w:after="120" w:line="288" w:lineRule="auto"/>
        <w:ind w:left="907"/>
        <w:jc w:val="left"/>
      </w:pPr>
      <w:r>
        <w:rPr>
          <w:rFonts w:eastAsia="等线" w:ascii="Arial" w:cs="Arial" w:hAnsi="Arial"/>
          <w:sz w:val="22"/>
        </w:rPr>
        <w:t>字母符号上有大量繁复的上标和下标用于区分声调和元音音值，如：gô̤ⁿ(敢)，在信息时代难以键入，只能使用特殊的输入法进行键入，并且因为符号特殊，在部分软件上容易显示不全或错误</w:t>
      </w:r>
    </w:p>
    <w:p>
      <w:pPr>
        <w:numPr>
          <w:numId w:val="24"/>
        </w:numPr>
        <w:spacing w:before="120" w:after="120" w:line="288" w:lineRule="auto"/>
        <w:ind w:left="907"/>
        <w:jc w:val="left"/>
      </w:pPr>
      <w:r>
        <w:rPr>
          <w:rFonts w:eastAsia="等线" w:ascii="Arial" w:cs="Arial" w:hAnsi="Arial"/>
          <w:sz w:val="22"/>
        </w:rPr>
        <w:t>平话字使用c/ch来表示[t͡s/t͡sʰ]，即汉语拼音里的z/c，如：cai(栽)/châi(采)，在今天汉语拼音普及的年代极易造成误解。</w:t>
      </w:r>
    </w:p>
    <w:p>
      <w:pPr>
        <w:numPr>
          <w:numId w:val="25"/>
        </w:numPr>
        <w:spacing w:before="120" w:after="120" w:line="288" w:lineRule="auto"/>
        <w:ind w:left="907"/>
        <w:jc w:val="left"/>
      </w:pPr>
      <w:r>
        <w:rPr>
          <w:rFonts w:eastAsia="等线" w:ascii="Arial" w:cs="Arial" w:hAnsi="Arial"/>
          <w:sz w:val="22"/>
        </w:rPr>
        <w:t>以清末民初的莆田城里腔为基准设计，无法兼容莆仙各地多样的口音，且许多历史音与今天的莆田话也有不小的差异。</w:t>
      </w:r>
    </w:p>
    <w:p>
      <w:pPr>
        <w:numPr>
          <w:numId w:val="26"/>
        </w:numPr>
        <w:spacing w:before="120" w:after="120" w:line="288" w:lineRule="auto"/>
        <w:ind w:left="0"/>
        <w:jc w:val="left"/>
      </w:pPr>
      <w:r>
        <w:rPr>
          <w:rFonts w:eastAsia="等线" w:ascii="Arial" w:cs="Arial" w:hAnsi="Arial"/>
          <w:sz w:val="22"/>
        </w:rPr>
        <w:t>《莆仙方言字典》莆仙音注音字母</w:t>
      </w:r>
    </w:p>
    <w:p>
      <w:pPr>
        <w:numPr>
          <w:numId w:val="27"/>
        </w:numPr>
        <w:spacing w:before="120" w:after="120" w:line="288" w:lineRule="auto"/>
        <w:ind w:left="453"/>
        <w:jc w:val="left"/>
      </w:pPr>
      <w:r>
        <w:rPr>
          <w:rFonts w:eastAsia="等线" w:ascii="Arial" w:cs="Arial" w:hAnsi="Arial"/>
          <w:sz w:val="22"/>
        </w:rPr>
        <w:t>简介：莆仙音注音字母是刘俊鸿先生于1952年编写的一套莆仙话拼音方案，以响应当年华东教育部的推广方言扫盲工作，后因扫盲工作停顿而中止。1988年刘俊鸿先生编写出版的《莆仙方言字典》中，采用这一套拼音方案，并且附有莆仙语拼音注字表。</w:t>
      </w:r>
    </w:p>
    <w:p>
      <w:pPr>
        <w:numPr>
          <w:numId w:val="28"/>
        </w:numPr>
        <w:spacing w:before="120" w:after="120" w:line="288" w:lineRule="auto"/>
        <w:ind w:left="453"/>
        <w:jc w:val="left"/>
      </w:pPr>
      <w:r>
        <w:rPr>
          <w:rFonts w:eastAsia="等线" w:ascii="Arial" w:cs="Arial" w:hAnsi="Arial"/>
          <w:sz w:val="22"/>
        </w:rPr>
        <w:t>莆仙音注音字母的痛点：</w:t>
      </w:r>
    </w:p>
    <w:p>
      <w:pPr>
        <w:numPr>
          <w:numId w:val="29"/>
        </w:numPr>
        <w:spacing w:before="120" w:after="120" w:line="288" w:lineRule="auto"/>
        <w:ind w:left="907"/>
        <w:jc w:val="left"/>
      </w:pPr>
      <w:r>
        <w:rPr>
          <w:rFonts w:eastAsia="等线" w:ascii="Arial" w:cs="Arial" w:hAnsi="Arial"/>
          <w:sz w:val="22"/>
        </w:rPr>
        <w:t>使用上标或下标区分元音，不易于键入。</w:t>
      </w:r>
    </w:p>
    <w:p>
      <w:pPr>
        <w:numPr>
          <w:numId w:val="30"/>
        </w:numPr>
        <w:spacing w:before="120" w:after="120" w:line="288" w:lineRule="auto"/>
        <w:ind w:left="907"/>
        <w:jc w:val="left"/>
      </w:pPr>
      <w:r>
        <w:rPr>
          <w:rFonts w:eastAsia="等线" w:ascii="Arial" w:cs="Arial" w:hAnsi="Arial"/>
          <w:sz w:val="22"/>
        </w:rPr>
        <w:t>在方案中同时出现前后鼻的对立，有悖于实际发音，容易误导学习者，如：an（安），üŋ（恩），实际上绝大多数莆仙话不区分前后鼻，特别是主流的莆田腔与仙游腔。</w:t>
      </w:r>
    </w:p>
    <w:p>
      <w:pPr>
        <w:numPr>
          <w:numId w:val="31"/>
        </w:numPr>
        <w:spacing w:before="120" w:after="120" w:line="288" w:lineRule="auto"/>
        <w:ind w:left="907"/>
        <w:jc w:val="left"/>
      </w:pPr>
      <w:r>
        <w:rPr>
          <w:rFonts w:eastAsia="等线" w:ascii="Arial" w:cs="Arial" w:hAnsi="Arial"/>
          <w:sz w:val="22"/>
        </w:rPr>
        <w:t>因标注的字音都是文读，所以方案中缺失鼻化音的方案。</w:t>
      </w:r>
    </w:p>
    <w:p>
      <w:pPr>
        <w:numPr>
          <w:numId w:val="32"/>
        </w:numPr>
        <w:spacing w:before="120" w:after="120" w:line="288" w:lineRule="auto"/>
        <w:ind w:left="907"/>
        <w:jc w:val="left"/>
      </w:pPr>
      <w:r>
        <w:rPr>
          <w:rFonts w:eastAsia="等线" w:ascii="Arial" w:cs="Arial" w:hAnsi="Arial"/>
          <w:sz w:val="22"/>
        </w:rPr>
        <w:t>由于作者是仙游人，虽在书中考虑到莆田腔，但方案中仍缺少一些莆田腔韵母，比如[yɒŋ]</w:t>
      </w:r>
    </w:p>
    <w:p>
      <w:pPr>
        <w:numPr>
          <w:numId w:val="33"/>
        </w:numPr>
        <w:spacing w:before="120" w:after="120" w:line="288" w:lineRule="auto"/>
        <w:ind w:left="0"/>
        <w:jc w:val="left"/>
      </w:pPr>
      <w:r>
        <w:rPr>
          <w:rFonts w:eastAsia="等线" w:ascii="Arial" w:cs="Arial" w:hAnsi="Arial"/>
          <w:sz w:val="22"/>
        </w:rPr>
        <w:t>《莆田县志·莆田方言志》拼音方案</w:t>
      </w:r>
    </w:p>
    <w:p>
      <w:pPr>
        <w:numPr>
          <w:numId w:val="34"/>
        </w:numPr>
        <w:spacing w:before="120" w:after="120" w:line="288" w:lineRule="auto"/>
        <w:ind w:left="453"/>
        <w:jc w:val="left"/>
      </w:pPr>
      <w:r>
        <w:rPr>
          <w:rFonts w:eastAsia="等线" w:ascii="Arial" w:cs="Arial" w:hAnsi="Arial"/>
          <w:sz w:val="22"/>
        </w:rPr>
        <w:t>1964年内部初版的《莆田方言志》(草稿)一书中使用一套莆仙话拼音方案注音，但后续正式出版的《莆田县志》中则改成了国际音标，该方案未推广。该方案整体整体较为接近汉语拼音，仅增加个别符号用于标注莆仙话有而普通话里没有的音，较容易上手。</w:t>
      </w:r>
    </w:p>
    <w:p>
      <w:pPr>
        <w:numPr>
          <w:numId w:val="35"/>
        </w:numPr>
        <w:spacing w:before="120" w:after="120" w:line="288" w:lineRule="auto"/>
        <w:ind w:left="453"/>
        <w:jc w:val="left"/>
      </w:pPr>
      <w:r>
        <w:rPr>
          <w:rFonts w:eastAsia="等线" w:ascii="Arial" w:cs="Arial" w:hAnsi="Arial"/>
          <w:sz w:val="22"/>
        </w:rPr>
        <w:t>《莆田方言志》拼音方案的痛点：</w:t>
      </w:r>
    </w:p>
    <w:p>
      <w:pPr>
        <w:numPr>
          <w:numId w:val="36"/>
        </w:numPr>
        <w:spacing w:before="120" w:after="120" w:line="288" w:lineRule="auto"/>
        <w:ind w:left="907"/>
        <w:jc w:val="left"/>
      </w:pPr>
      <w:r>
        <w:rPr>
          <w:rFonts w:eastAsia="等线" w:ascii="Arial" w:cs="Arial" w:hAnsi="Arial"/>
          <w:sz w:val="22"/>
        </w:rPr>
        <w:t>使用特殊符号 ü(宇) 和 ɔ(下) 以及 ʔ(喉塞音) 这3个符号，虽清晰明了，但仍不易键入。</w:t>
      </w:r>
    </w:p>
    <w:p>
      <w:pPr>
        <w:numPr>
          <w:numId w:val="37"/>
        </w:numPr>
        <w:spacing w:before="120" w:after="120" w:line="288" w:lineRule="auto"/>
        <w:ind w:left="907"/>
        <w:jc w:val="left"/>
      </w:pPr>
      <w:r>
        <w:rPr>
          <w:rFonts w:eastAsia="等线" w:ascii="Arial" w:cs="Arial" w:hAnsi="Arial"/>
          <w:sz w:val="22"/>
        </w:rPr>
        <w:t>专为莆田城里腔设计，无法兼容莆仙各地多样的口音。</w:t>
      </w:r>
    </w:p>
    <w:p>
      <w:pPr>
        <w:numPr>
          <w:numId w:val="38"/>
        </w:numPr>
        <w:spacing w:before="120" w:after="120" w:line="288" w:lineRule="auto"/>
        <w:ind w:left="0"/>
        <w:jc w:val="left"/>
      </w:pPr>
      <w:r>
        <w:rPr>
          <w:rFonts w:eastAsia="等线" w:ascii="Arial" w:cs="Arial" w:hAnsi="Arial"/>
          <w:sz w:val="22"/>
        </w:rPr>
        <w:t>《莆仙方言大词典》莆仙方言拼音方案</w:t>
      </w:r>
    </w:p>
    <w:p>
      <w:pPr>
        <w:numPr>
          <w:numId w:val="39"/>
        </w:numPr>
        <w:spacing w:before="120" w:after="120" w:line="288" w:lineRule="auto"/>
        <w:ind w:left="453"/>
        <w:jc w:val="left"/>
      </w:pPr>
      <w:r>
        <w:rPr>
          <w:rFonts w:eastAsia="等线" w:ascii="Arial" w:cs="Arial" w:hAnsi="Arial"/>
          <w:sz w:val="22"/>
        </w:rPr>
        <w:t>2021年出版的《莆仙方言大词典》中使用的一套莆仙方言拼音方案，是由作为主编的莆田学院黄国城教授所设计，该方案贴近汉语拼音方案，基本上以一个符号代表一个音为原则，通过增加上下标来区分不同元音，并直接使用调值来表示声调。方案兼容莆田和仙游两种腔调。</w:t>
      </w:r>
    </w:p>
    <w:p>
      <w:pPr>
        <w:numPr>
          <w:numId w:val="40"/>
        </w:numPr>
        <w:spacing w:before="120" w:after="120" w:line="288" w:lineRule="auto"/>
        <w:ind w:left="453"/>
        <w:jc w:val="left"/>
      </w:pPr>
      <w:r>
        <w:rPr>
          <w:rFonts w:eastAsia="等线" w:ascii="Arial" w:cs="Arial" w:hAnsi="Arial"/>
          <w:sz w:val="22"/>
        </w:rPr>
        <w:t>莆仙方言拼音方案的痛点：</w:t>
      </w:r>
    </w:p>
    <w:p>
      <w:pPr>
        <w:numPr>
          <w:numId w:val="41"/>
        </w:numPr>
        <w:spacing w:before="120" w:after="120" w:line="288" w:lineRule="auto"/>
        <w:ind w:left="907"/>
        <w:jc w:val="left"/>
      </w:pPr>
      <w:r>
        <w:rPr>
          <w:rFonts w:eastAsia="等线" w:ascii="Arial" w:cs="Arial" w:hAnsi="Arial"/>
          <w:sz w:val="22"/>
        </w:rPr>
        <w:t>使用了上下标来区分不同元音，上标^表示发音比该字母大一个开口度，下标 . 表示圆唇，使用ñ表示鼻化音，虽较为科学，但难以键入。</w:t>
      </w:r>
    </w:p>
    <w:p>
      <w:pPr>
        <w:numPr>
          <w:numId w:val="42"/>
        </w:numPr>
        <w:spacing w:before="120" w:after="120" w:line="288" w:lineRule="auto"/>
        <w:ind w:left="907"/>
        <w:jc w:val="left"/>
      </w:pPr>
      <w:r>
        <w:rPr>
          <w:rFonts w:eastAsia="等线" w:ascii="Arial" w:cs="Arial" w:hAnsi="Arial"/>
          <w:sz w:val="22"/>
        </w:rPr>
        <w:t>直接使用调值区分声调，虽然较为科学准确，但门槛较高，不易辨读。</w:t>
      </w:r>
    </w:p>
    <w:p>
      <w:pPr>
        <w:pStyle w:val="2"/>
        <w:spacing w:before="320" w:after="120" w:line="288" w:lineRule="auto"/>
        <w:ind w:left="0"/>
        <w:jc w:val="left"/>
        <w:outlineLvl w:val="1"/>
      </w:pPr>
      <w:bookmarkStart w:name="heading_4" w:id="4"/>
      <w:r>
        <w:rPr>
          <w:rFonts w:eastAsia="等线" w:ascii="Arial" w:cs="Arial" w:hAnsi="Arial"/>
          <w:b w:val="true"/>
          <w:sz w:val="32"/>
        </w:rPr>
        <w:t>设计原则</w:t>
      </w:r>
      <w:bookmarkEnd w:id="4"/>
    </w:p>
    <w:p>
      <w:pPr>
        <w:numPr>
          <w:numId w:val="43"/>
        </w:numPr>
        <w:spacing w:before="120" w:after="120" w:line="288" w:lineRule="auto"/>
        <w:ind w:left="0"/>
        <w:jc w:val="left"/>
      </w:pPr>
      <w:r>
        <w:rPr>
          <w:rFonts w:eastAsia="等线" w:ascii="Arial" w:cs="Arial" w:hAnsi="Arial"/>
          <w:sz w:val="22"/>
        </w:rPr>
        <w:t>普适性：尽可能的兼容所有口音，做到一个方案覆盖全区域（除了域外方言岛）根据不同点进行扩展方案。</w:t>
      </w:r>
    </w:p>
    <w:p>
      <w:pPr>
        <w:numPr>
          <w:numId w:val="44"/>
        </w:numPr>
        <w:spacing w:before="120" w:after="120" w:line="288" w:lineRule="auto"/>
        <w:ind w:left="0"/>
        <w:jc w:val="left"/>
      </w:pPr>
      <w:r>
        <w:rPr>
          <w:rFonts w:eastAsia="等线" w:ascii="Arial" w:cs="Arial" w:hAnsi="Arial"/>
          <w:sz w:val="22"/>
        </w:rPr>
        <w:t>准确性：尽量做到“我手写我口”，在一个统一的方案框架下，尽可能去精确描写音值，用不同拼音标出各个口音的特殊发音。</w:t>
      </w:r>
    </w:p>
    <w:p>
      <w:pPr>
        <w:numPr>
          <w:numId w:val="45"/>
        </w:numPr>
        <w:spacing w:before="120" w:after="120" w:line="288" w:lineRule="auto"/>
        <w:ind w:left="0"/>
        <w:jc w:val="left"/>
      </w:pPr>
      <w:r>
        <w:rPr>
          <w:rFonts w:eastAsia="等线" w:ascii="Arial" w:cs="Arial" w:hAnsi="Arial"/>
          <w:sz w:val="22"/>
        </w:rPr>
        <w:t>易学性：在保证方案科学的前提下，尽量靠近普通话拼音以及符合大众直觉，降低学习门槛。</w:t>
      </w:r>
    </w:p>
    <w:p>
      <w:pPr>
        <w:numPr>
          <w:numId w:val="46"/>
        </w:numPr>
        <w:spacing w:before="120" w:after="120" w:line="288" w:lineRule="auto"/>
        <w:ind w:left="0"/>
        <w:jc w:val="left"/>
      </w:pPr>
      <w:r>
        <w:rPr>
          <w:rFonts w:eastAsia="等线" w:ascii="Arial" w:cs="Arial" w:hAnsi="Arial"/>
          <w:sz w:val="22"/>
        </w:rPr>
        <w:t>简便性：针对键入式方案，符号选用严格在26个拉丁字母框架下，不使用附标改变音位，可缩略冗余字母，追求键入友好。</w:t>
      </w:r>
    </w:p>
    <w:p>
      <w:pPr>
        <w:pStyle w:val="1"/>
        <w:spacing w:before="380" w:after="140" w:line="288" w:lineRule="auto"/>
        <w:ind w:left="0"/>
        <w:jc w:val="left"/>
        <w:outlineLvl w:val="0"/>
      </w:pPr>
      <w:bookmarkStart w:name="heading_5" w:id="5"/>
      <w:r>
        <w:rPr>
          <w:rFonts w:eastAsia="等线" w:ascii="Arial" w:cs="Arial" w:hAnsi="Arial"/>
          <w:b w:val="true"/>
          <w:sz w:val="36"/>
        </w:rPr>
        <w:t>符号规定</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辅音</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辅音符号的规定</w:t>
      </w:r>
      <w:bookmarkEnd w:id="7"/>
    </w:p>
    <w:p>
      <w:pPr>
        <w:numPr>
          <w:numId w:val="47"/>
        </w:numPr>
        <w:spacing w:before="120" w:after="120" w:line="288" w:lineRule="auto"/>
        <w:ind w:left="0"/>
        <w:jc w:val="left"/>
      </w:pPr>
      <w:r>
        <w:rPr>
          <w:rFonts w:eastAsia="等线" w:ascii="Arial" w:cs="Arial" w:hAnsi="Arial"/>
          <w:color w:val="1f2329"/>
          <w:sz w:val="22"/>
        </w:rPr>
        <w:t>辅音符号基于国际音标(IPA)转写。</w:t>
      </w:r>
    </w:p>
    <w:p>
      <w:pPr>
        <w:numPr>
          <w:numId w:val="48"/>
        </w:numPr>
        <w:spacing w:before="120" w:after="120" w:line="288" w:lineRule="auto"/>
        <w:ind w:left="0"/>
        <w:jc w:val="left"/>
      </w:pPr>
      <w:r>
        <w:rPr>
          <w:rFonts w:eastAsia="等线" w:ascii="Arial" w:cs="Arial" w:hAnsi="Arial"/>
          <w:sz w:val="22"/>
        </w:rPr>
        <w:t>下表为莆仙话各地区口音的辅音音位，使用国际音标表示。</w:t>
      </w:r>
    </w:p>
    <w:p>
      <w:pPr>
        <w:numPr>
          <w:numId w:val="49"/>
        </w:numPr>
        <w:spacing w:before="120" w:after="120" w:line="288" w:lineRule="auto"/>
        <w:ind w:left="453"/>
        <w:jc w:val="left"/>
      </w:pPr>
      <w:r>
        <w:rPr>
          <w:rFonts w:eastAsia="等线" w:ascii="Arial" w:cs="Arial" w:hAnsi="Arial"/>
          <w:sz w:val="22"/>
        </w:rPr>
        <w:t>擦音/β/和/ɣ/仅出现在语流音变（此处指声母类化）中，单字不出现。其中，浊双唇擦音/β/，即后字声母为唇音的词组通过语流音变产生的辅音，主要存在于仙游县及莆田乡下部分口音中，音值较为确定；但对于后者，即后字声母为牙喉音的词组通过语流音变产生的辅音，不同学者的具体音值描写不尽相同，有/ɣ/、/w/、/ɰ/等，这里选取《莆田市志》的写法/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675"/>
        <w:gridCol w:w="675"/>
        <w:gridCol w:w="675"/>
        <w:gridCol w:w="675"/>
        <w:gridCol w:w="675"/>
        <w:gridCol w:w="675"/>
        <w:gridCol w:w="675"/>
        <w:gridCol w:w="675"/>
        <w:gridCol w:w="675"/>
        <w:gridCol w:w="675"/>
        <w:gridCol w:w="675"/>
      </w:tblGrid>
      <w:tr>
        <w:tc>
          <w:tcPr>
            <w:tcW w:w="840"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双唇</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齿</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龈</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软腭</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声门</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塞音</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p</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pʰ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t</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tʰ</w:t>
            </w: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k</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kʰ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ʔ</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塞擦音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t͡s</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t͡sʰ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dz</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鼻音</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m</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ŋ</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擦音</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β</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θ</w:t>
            </w:r>
          </w:p>
        </w:tc>
        <w:tc>
          <w:tcPr>
            <w:tcW w:w="1350"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ɣ</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边擦音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ɬ</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边近音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l</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bl>
    <w:p>
      <w:pPr>
        <w:numPr>
          <w:numId w:val="50"/>
        </w:numPr>
        <w:spacing w:before="120" w:after="120" w:line="288" w:lineRule="auto"/>
        <w:ind w:left="0"/>
        <w:jc w:val="left"/>
      </w:pPr>
      <w:r>
        <w:rPr>
          <w:rFonts w:eastAsia="等线" w:ascii="Arial" w:cs="Arial" w:hAnsi="Arial"/>
          <w:sz w:val="22"/>
        </w:rPr>
        <w:t>下表为莆仙话各地区口音的辅音音位，使用莆拼表示。</w:t>
      </w:r>
    </w:p>
    <w:p>
      <w:pPr>
        <w:numPr>
          <w:numId w:val="51"/>
        </w:numPr>
        <w:spacing w:before="120" w:after="120" w:line="288" w:lineRule="auto"/>
        <w:ind w:left="453"/>
        <w:jc w:val="left"/>
      </w:pPr>
      <w:r>
        <w:rPr>
          <w:rFonts w:eastAsia="等线" w:ascii="Arial" w:cs="Arial" w:hAnsi="Arial"/>
          <w:sz w:val="22"/>
        </w:rPr>
        <w:t>在元音音位的转写上，莆拼与国际音标大部分是一对一的关系，但清齿龈边擦音/ɬ/和清齿擦音/θ/是不同地区口音中出现的元音，实际上在单一口音中并不对立，故使用同一个符号s来表示，不会造成混淆；</w:t>
      </w:r>
      <w:r>
        <w:rPr>
          <w:rFonts w:eastAsia="等线" w:ascii="Arial" w:cs="Arial" w:hAnsi="Arial"/>
          <w:color w:val="1f2329"/>
          <w:sz w:val="22"/>
        </w:rPr>
        <w:t>声门清擦音/h/与声门塞音/ʔ/使用同一符号h表示，但前者位于音节前，后者位于音节后，如：好ho3，合hah7，这是沿用了兴化平话字和众多其他闽语拼音方案的习惯，也不会造成混淆。</w:t>
      </w:r>
    </w:p>
    <w:p>
      <w:pPr>
        <w:numPr>
          <w:numId w:val="52"/>
        </w:numPr>
        <w:spacing w:before="120" w:after="120" w:line="288" w:lineRule="auto"/>
        <w:ind w:left="453"/>
        <w:jc w:val="left"/>
      </w:pPr>
      <w:r>
        <w:rPr>
          <w:rFonts w:eastAsia="等线" w:ascii="Arial" w:cs="Arial" w:hAnsi="Arial"/>
          <w:sz w:val="22"/>
        </w:rPr>
        <w:t>为了降低学习门槛，本方案采用与普通话汉语拼音相近的辅音写法，《莆仙方言字典》、《莆田方言志》、《莆仙方言大词典》的拼音方案皆是如此，因为莆仙方言中绝大多数地区都不存在塞音和塞擦音的清浊对立，仅靠近闽南语地区存在清浊对立，莆拼以双写字母bb/zz/gg表示。</w:t>
      </w:r>
    </w:p>
    <w:p>
      <w:pPr>
        <w:numPr>
          <w:numId w:val="53"/>
        </w:numPr>
        <w:spacing w:before="120" w:after="120" w:line="288" w:lineRule="auto"/>
        <w:ind w:left="453"/>
        <w:jc w:val="left"/>
      </w:pPr>
      <w:r>
        <w:rPr>
          <w:rFonts w:eastAsia="等线" w:ascii="Arial" w:cs="Arial" w:hAnsi="Arial"/>
          <w:sz w:val="22"/>
        </w:rPr>
        <w:t>本土莆仙话（不包括方言岛）中不存在清齿龈擦音/s/，只有在不同地区分别分布着清齿龈边擦音/ɬ/和清齿擦音/θ/，故莆拼直接使用s表示。</w:t>
      </w:r>
    </w:p>
    <w:p>
      <w:pPr>
        <w:numPr>
          <w:numId w:val="54"/>
        </w:numPr>
        <w:spacing w:before="120" w:after="120" w:line="288" w:lineRule="auto"/>
        <w:ind w:left="453"/>
        <w:jc w:val="left"/>
      </w:pPr>
      <w:r>
        <w:rPr>
          <w:rFonts w:eastAsia="等线" w:ascii="Arial" w:cs="Arial" w:hAnsi="Arial"/>
          <w:sz w:val="22"/>
        </w:rPr>
        <w:t>对于浊软腭擦音/ɣ/，目前大多数材料对视为零声母不标出，莆拼建议从简，可不标出。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675"/>
        <w:gridCol w:w="675"/>
        <w:gridCol w:w="675"/>
        <w:gridCol w:w="675"/>
        <w:gridCol w:w="675"/>
        <w:gridCol w:w="675"/>
        <w:gridCol w:w="675"/>
        <w:gridCol w:w="675"/>
        <w:gridCol w:w="675"/>
        <w:gridCol w:w="675"/>
        <w:gridCol w:w="675"/>
      </w:tblGrid>
      <w:tr>
        <w:tc>
          <w:tcPr>
            <w:tcW w:w="840"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双唇</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齿</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龈</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软腭</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声门</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塞音</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p</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bb</w:t>
            </w: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d</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t</w:t>
            </w: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g</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k</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gg</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塞擦音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z</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c</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zz</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鼻音</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m</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ng</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擦音</w:t>
            </w: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s</w:t>
            </w:r>
          </w:p>
        </w:tc>
        <w:tc>
          <w:tcPr>
            <w:tcW w:w="1350"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gh</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h</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边擦音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边近音</w:t>
            </w: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13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l</w:t>
            </w: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hMerge w:val="continue"/>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8" w:id="8"/>
      <w:r>
        <w:rPr>
          <w:rFonts w:eastAsia="等线" w:ascii="Arial" w:cs="Arial" w:hAnsi="Arial"/>
          <w:b w:val="true"/>
          <w:color w:val="1f2329"/>
          <w:sz w:val="30"/>
        </w:rPr>
        <w:t>辅音符号使用说明</w:t>
      </w:r>
      <w:bookmarkEnd w:id="8"/>
    </w:p>
    <w:p>
      <w:pPr>
        <w:numPr>
          <w:numId w:val="55"/>
        </w:numPr>
        <w:spacing w:before="120" w:after="120" w:line="288" w:lineRule="auto"/>
        <w:ind w:left="0"/>
        <w:jc w:val="left"/>
      </w:pPr>
      <w:r>
        <w:rPr>
          <w:rFonts w:eastAsia="等线" w:ascii="Arial" w:cs="Arial" w:hAnsi="Arial"/>
          <w:sz w:val="22"/>
        </w:rPr>
        <w:t>两个音节连读后产生的顺同化（声母类化），需要标出类化后的声母音位。对于连读后产生的逆同化（韵尾类化），一般不用标出。其他情况则按照实际发音标出辅音音位。</w:t>
      </w:r>
    </w:p>
    <w:p>
      <w:pPr>
        <w:pStyle w:val="2"/>
        <w:spacing w:before="320" w:after="120" w:line="288" w:lineRule="auto"/>
        <w:ind w:left="0"/>
        <w:jc w:val="left"/>
        <w:outlineLvl w:val="1"/>
      </w:pPr>
      <w:bookmarkStart w:name="heading_9" w:id="9"/>
      <w:r>
        <w:rPr>
          <w:rFonts w:eastAsia="等线" w:ascii="Arial" w:cs="Arial" w:hAnsi="Arial"/>
          <w:b w:val="true"/>
          <w:sz w:val="32"/>
        </w:rPr>
        <w:t>元音</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元音符号的规定</w:t>
      </w:r>
      <w:bookmarkEnd w:id="10"/>
    </w:p>
    <w:p>
      <w:pPr>
        <w:numPr>
          <w:numId w:val="56"/>
        </w:numPr>
        <w:spacing w:before="120" w:after="120" w:line="288" w:lineRule="auto"/>
        <w:ind w:left="0"/>
        <w:jc w:val="left"/>
      </w:pPr>
      <w:r>
        <w:rPr>
          <w:rFonts w:eastAsia="等线" w:ascii="Arial" w:cs="Arial" w:hAnsi="Arial"/>
          <w:color w:val="1f2329"/>
          <w:sz w:val="22"/>
        </w:rPr>
        <w:t>元音符号基于国际音标(IPA)转写。</w:t>
      </w:r>
    </w:p>
    <w:p>
      <w:pPr>
        <w:numPr>
          <w:numId w:val="57"/>
        </w:numPr>
        <w:spacing w:before="120" w:after="120" w:line="288" w:lineRule="auto"/>
        <w:ind w:left="0"/>
        <w:jc w:val="left"/>
      </w:pPr>
      <w:r>
        <w:rPr>
          <w:rFonts w:eastAsia="等线" w:ascii="Arial" w:cs="Arial" w:hAnsi="Arial"/>
          <w:sz w:val="22"/>
        </w:rPr>
        <w:t>下表为莆仙话各地区口音常见的元音音位，使用国际音标表示。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900"/>
        <w:gridCol w:w="750"/>
        <w:gridCol w:w="750"/>
        <w:gridCol w:w="900"/>
        <w:gridCol w:w="750"/>
      </w:tblGrid>
      <w:tr>
        <w:tc>
          <w:tcPr>
            <w:tcW w:w="750" w:type="dxa"/>
            <w:tcMar>
              <w:top w:type="dxa" w:w="60"/>
              <w:left w:type="dxa" w:w="120"/>
              <w:bottom w:type="dxa" w:w="30"/>
              <w:right w:type="dxa" w:w="120"/>
            </w:tcMar>
          </w:tcPr>
          <w:p>
            <w:pPr>
              <w:spacing w:before="120" w:after="120" w:line="288" w:lineRule="auto"/>
              <w:ind w:left="0"/>
              <w:jc w:val="left"/>
            </w:pPr>
          </w:p>
        </w:tc>
        <w:tc>
          <w:tcPr>
            <w:tcW w:w="16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前</w:t>
            </w:r>
          </w:p>
        </w:tc>
        <w:tc>
          <w:tcPr>
            <w:tcW w:w="750" w:type="dxa"/>
            <w:hMerge w:val="continue"/>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央</w:t>
            </w:r>
          </w:p>
        </w:tc>
        <w:tc>
          <w:tcPr>
            <w:tcW w:w="16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后</w:t>
            </w:r>
          </w:p>
        </w:tc>
        <w:tc>
          <w:tcPr>
            <w:tcW w:w="750" w:type="dxa"/>
            <w:hMerge w:val="continue"/>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不圆唇</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圆唇</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不圆唇</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圆唇</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i</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y</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u</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半闭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ø</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ɤ</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w:t>
            </w:r>
          </w:p>
        </w:tc>
      </w:tr>
      <w:tr>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ə</w:t>
            </w: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半开</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ɛ</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œ</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ɔ</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w:t>
            </w:r>
          </w:p>
        </w:tc>
        <w:tc>
          <w:tcPr>
            <w:tcW w:w="75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ɒ</w:t>
            </w:r>
          </w:p>
        </w:tc>
      </w:tr>
    </w:tbl>
    <w:p>
      <w:pPr>
        <w:numPr>
          <w:numId w:val="58"/>
        </w:numPr>
        <w:spacing w:before="120" w:after="120" w:line="288" w:lineRule="auto"/>
        <w:ind w:left="0"/>
        <w:jc w:val="left"/>
      </w:pPr>
      <w:r>
        <w:rPr>
          <w:rFonts w:eastAsia="等线" w:ascii="Arial" w:cs="Arial" w:hAnsi="Arial"/>
          <w:sz w:val="22"/>
        </w:rPr>
        <w:t>下表为莆仙话各地区口音常见的元音音位，使用莆拼表示。</w:t>
      </w:r>
    </w:p>
    <w:p>
      <w:pPr>
        <w:numPr>
          <w:numId w:val="59"/>
        </w:numPr>
        <w:spacing w:before="120" w:after="120" w:line="288" w:lineRule="auto"/>
        <w:ind w:left="453"/>
        <w:jc w:val="left"/>
      </w:pPr>
      <w:r>
        <w:rPr>
          <w:rFonts w:eastAsia="等线" w:ascii="Arial" w:cs="Arial" w:hAnsi="Arial"/>
          <w:sz w:val="22"/>
        </w:rPr>
        <w:t>在元音音位的转写上，莆拼与国际音标大部分是一对一的关系，但/ɵ/和/</w:t>
      </w:r>
      <w:r>
        <w:rPr>
          <w:rFonts w:eastAsia="等线" w:ascii="Arial" w:cs="Arial" w:hAnsi="Arial"/>
          <w:color w:val="1f2329"/>
          <w:sz w:val="22"/>
        </w:rPr>
        <w:t>o</w:t>
      </w:r>
      <w:r>
        <w:rPr>
          <w:rFonts w:eastAsia="等线" w:ascii="Arial" w:cs="Arial" w:hAnsi="Arial"/>
          <w:sz w:val="22"/>
        </w:rPr>
        <w:t>/是不同地区或不同年龄段口音中出现的元音，实际上在单一口音中并不对立，故使用同一个符号o来表示。/œ/一般不单独出现，一般其后带有辅音尾，即/ø/与/œ/在同一口音中不对立，故使用同一个符合oe来表示。/ɤ/和/ə/在单一口音中并不对立，故使用同一个符合er来表示。</w:t>
      </w:r>
    </w:p>
    <w:p>
      <w:pPr>
        <w:numPr>
          <w:numId w:val="60"/>
        </w:numPr>
        <w:spacing w:before="120" w:after="120" w:line="288" w:lineRule="auto"/>
        <w:ind w:left="453"/>
        <w:jc w:val="left"/>
      </w:pPr>
      <w:r>
        <w:rPr>
          <w:rFonts w:eastAsia="等线" w:ascii="Arial" w:cs="Arial" w:hAnsi="Arial"/>
          <w:sz w:val="22"/>
        </w:rPr>
        <w:t>手写式（暂行）为书写方便，参考兴化平话字的写法，但将下标◌̤统一转为上标◌̈。除了er(ə)与oo(ɔ)两个因较为边缘，暂使用国际音标。</w:t>
      </w:r>
    </w:p>
    <w:p>
      <w:pPr>
        <w:numPr>
          <w:numId w:val="61"/>
        </w:numPr>
        <w:spacing w:before="120" w:after="120" w:line="288" w:lineRule="auto"/>
        <w:ind w:left="453"/>
        <w:jc w:val="left"/>
      </w:pPr>
      <w:r>
        <w:rPr>
          <w:rFonts w:eastAsia="等线" w:ascii="Arial" w:cs="Arial" w:hAnsi="Arial"/>
          <w:sz w:val="22"/>
        </w:rPr>
        <w:t>括号外是键入式，括号内是手写式（暂行）。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900"/>
        <w:gridCol w:w="900"/>
        <w:gridCol w:w="750"/>
        <w:gridCol w:w="900"/>
        <w:gridCol w:w="810"/>
      </w:tblGrid>
      <w:tr>
        <w:tc>
          <w:tcPr>
            <w:tcW w:w="750" w:type="dxa"/>
            <w:tcMar>
              <w:top w:type="dxa" w:w="60"/>
              <w:left w:type="dxa" w:w="120"/>
              <w:bottom w:type="dxa" w:w="30"/>
              <w:right w:type="dxa" w:w="120"/>
            </w:tcMar>
          </w:tcPr>
          <w:p>
            <w:pPr>
              <w:spacing w:before="120" w:after="120" w:line="288" w:lineRule="auto"/>
              <w:ind w:left="0"/>
              <w:jc w:val="left"/>
            </w:pPr>
          </w:p>
        </w:tc>
        <w:tc>
          <w:tcPr>
            <w:tcW w:w="18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前</w:t>
            </w:r>
          </w:p>
        </w:tc>
        <w:tc>
          <w:tcPr>
            <w:tcW w:w="900" w:type="dxa"/>
            <w:hMerge w:val="continue"/>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央</w:t>
            </w:r>
          </w:p>
        </w:tc>
        <w:tc>
          <w:tcPr>
            <w:tcW w:w="17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后</w:t>
            </w:r>
          </w:p>
        </w:tc>
        <w:tc>
          <w:tcPr>
            <w:tcW w:w="810" w:type="dxa"/>
            <w:hMerge w:val="continue"/>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不圆唇</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圆唇</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不圆唇</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圆唇</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i</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y(ü)</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u</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半闭</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e</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w:t>
            </w:r>
            <w:r>
              <w:rPr>
                <w:rFonts w:eastAsia="等线" w:ascii="Arial" w:cs="Arial" w:hAnsi="Arial"/>
                <w:color w:val="1f2329"/>
                <w:sz w:val="22"/>
              </w:rPr>
              <w:t>ë</w:t>
            </w:r>
            <w:r>
              <w:rPr>
                <w:rFonts w:eastAsia="等线" w:ascii="Arial" w:cs="Arial" w:hAnsi="Arial"/>
                <w:sz w:val="22"/>
              </w:rPr>
              <w:t>)</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er(ə)</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o</w:t>
            </w:r>
          </w:p>
        </w:tc>
      </w:tr>
      <w:tr>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er(ə)</w:t>
            </w:r>
          </w:p>
        </w:tc>
        <w:tc>
          <w:tcPr>
            <w:tcW w:w="90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半开</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w:t>
            </w:r>
            <w:r>
              <w:rPr>
                <w:rFonts w:eastAsia="等线" w:ascii="Arial" w:cs="Arial" w:hAnsi="Arial"/>
                <w:color w:val="1f2329"/>
                <w:sz w:val="22"/>
              </w:rPr>
              <w:t>ä</w:t>
            </w:r>
            <w:r>
              <w:rPr>
                <w:rFonts w:eastAsia="等线" w:ascii="Arial" w:cs="Arial" w:hAnsi="Arial"/>
                <w:sz w:val="22"/>
              </w:rPr>
              <w:t>)</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oe(</w:t>
            </w:r>
            <w:r>
              <w:rPr>
                <w:rFonts w:eastAsia="等线" w:ascii="Arial" w:cs="Arial" w:hAnsi="Arial"/>
                <w:color w:val="1f2329"/>
                <w:sz w:val="22"/>
              </w:rPr>
              <w:t>ë</w:t>
            </w:r>
            <w:r>
              <w:rPr>
                <w:rFonts w:eastAsia="等线" w:ascii="Arial" w:cs="Arial" w:hAnsi="Arial"/>
                <w:sz w:val="22"/>
              </w:rPr>
              <w:t>)</w:t>
            </w: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oo(ɔ)</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w:t>
            </w:r>
          </w:p>
        </w:tc>
        <w:tc>
          <w:tcPr>
            <w:tcW w:w="900" w:type="dxa"/>
            <w:tcMar>
              <w:top w:type="dxa" w:w="60"/>
              <w:left w:type="dxa" w:w="120"/>
              <w:bottom w:type="dxa" w:w="30"/>
              <w:right w:type="dxa" w:w="120"/>
            </w:tcMar>
          </w:tcPr>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w:t>
            </w:r>
            <w:r>
              <w:rPr>
                <w:rFonts w:eastAsia="等线" w:ascii="Arial" w:cs="Arial" w:hAnsi="Arial"/>
                <w:color w:val="1f2329"/>
                <w:sz w:val="22"/>
              </w:rPr>
              <w:t>ö</w:t>
            </w:r>
            <w:r>
              <w:rPr>
                <w:rFonts w:eastAsia="等线" w:ascii="Arial" w:cs="Arial" w:hAnsi="Arial"/>
                <w:sz w:val="22"/>
              </w:rPr>
              <w:t>)</w:t>
            </w:r>
          </w:p>
        </w:tc>
      </w:tr>
    </w:tbl>
    <w:p>
      <w:pPr>
        <w:pStyle w:val="3"/>
        <w:spacing w:before="300" w:after="120" w:line="288" w:lineRule="auto"/>
        <w:ind w:left="0"/>
        <w:jc w:val="left"/>
        <w:outlineLvl w:val="2"/>
      </w:pPr>
      <w:bookmarkStart w:name="heading_11" w:id="11"/>
      <w:r>
        <w:rPr>
          <w:rFonts w:eastAsia="等线" w:ascii="Arial" w:cs="Arial" w:hAnsi="Arial"/>
          <w:b w:val="true"/>
          <w:color w:val="1f2329"/>
          <w:sz w:val="30"/>
        </w:rPr>
        <w:t>元音符号使用说明</w:t>
      </w:r>
      <w:bookmarkEnd w:id="11"/>
    </w:p>
    <w:p>
      <w:pPr>
        <w:numPr>
          <w:numId w:val="62"/>
        </w:numPr>
        <w:spacing w:before="120" w:after="120" w:line="288" w:lineRule="auto"/>
        <w:ind w:left="0"/>
        <w:jc w:val="left"/>
      </w:pPr>
      <w:r>
        <w:rPr>
          <w:rFonts w:eastAsia="等线" w:ascii="Arial" w:cs="Arial" w:hAnsi="Arial"/>
          <w:sz w:val="22"/>
        </w:rPr>
        <w:t>鼻化元音，在键入式中，应在最后标上nn，比如：羊iunn2；在手写式中，应在右上角表上小n，比如：羊iúⁿ（以仙游音为例）。</w:t>
      </w:r>
    </w:p>
    <w:p>
      <w:pPr>
        <w:numPr>
          <w:numId w:val="63"/>
        </w:numPr>
        <w:spacing w:before="120" w:after="120" w:line="288" w:lineRule="auto"/>
        <w:ind w:left="0"/>
        <w:jc w:val="left"/>
      </w:pPr>
      <w:r>
        <w:rPr>
          <w:rFonts w:eastAsia="等线" w:ascii="Arial" w:cs="Arial" w:hAnsi="Arial"/>
          <w:sz w:val="22"/>
        </w:rPr>
        <w:t xml:space="preserve">莆仙话的/ɛŋ ɛʔ/虽主元音为/ɛ/，但莆普从简标为eng/eh（包括手写式）；ae(ä) 仅用作表示辖字较少的边缘音系 </w:t>
      </w:r>
      <w:r>
        <w:rPr>
          <w:rFonts w:eastAsia="等线" w:ascii="Arial" w:cs="Arial" w:hAnsi="Arial"/>
          <w:sz w:val="22"/>
        </w:rPr>
        <w:t>/ɛ/，如：十/ɬɛ/，sae(s</w:t>
      </w:r>
      <w:r>
        <w:rPr>
          <w:rFonts w:eastAsia="等线" w:ascii="Arial" w:cs="Arial" w:hAnsi="Arial"/>
          <w:color w:val="1f2329"/>
          <w:sz w:val="22"/>
        </w:rPr>
        <w:t>ä́</w:t>
      </w:r>
      <w:r>
        <w:rPr>
          <w:rFonts w:eastAsia="等线" w:ascii="Arial" w:cs="Arial" w:hAnsi="Arial"/>
          <w:sz w:val="22"/>
        </w:rPr>
        <w:t>)。</w:t>
      </w:r>
    </w:p>
    <w:p>
      <w:pPr>
        <w:numPr>
          <w:numId w:val="64"/>
        </w:numPr>
        <w:spacing w:before="120" w:after="120" w:line="288" w:lineRule="auto"/>
        <w:ind w:left="0"/>
        <w:jc w:val="left"/>
      </w:pPr>
      <w:r>
        <w:rPr>
          <w:rFonts w:eastAsia="等线" w:ascii="Arial" w:cs="Arial" w:hAnsi="Arial"/>
          <w:sz w:val="22"/>
        </w:rPr>
        <w:t>在具体的韵母描写中，建议应用简写，例如：连 leng2 (léng)，莆田的 蛇 syo2(syó)，仙游的 勇 yeng3 (yêng) 等。</w:t>
      </w:r>
    </w:p>
    <w:p>
      <w:pPr>
        <w:numPr>
          <w:numId w:val="65"/>
        </w:numPr>
        <w:spacing w:before="120" w:after="120" w:line="288" w:lineRule="auto"/>
        <w:ind w:left="0"/>
        <w:jc w:val="left"/>
      </w:pPr>
      <w:r>
        <w:rPr>
          <w:rFonts w:eastAsia="等线" w:ascii="Arial" w:cs="Arial" w:hAnsi="Arial"/>
          <w:sz w:val="22"/>
        </w:rPr>
        <w:t>在描写某地口音时，若该地口音的元音没有对立的情况下，可选</w:t>
      </w:r>
      <w:r>
        <w:rPr>
          <w:rFonts w:eastAsia="等线" w:ascii="Arial" w:cs="Arial" w:hAnsi="Arial"/>
          <w:color w:val="1f2329"/>
          <w:sz w:val="22"/>
        </w:rPr>
        <w:t>择圆唇程度与前后位置相同，开口度较小的元音符号，如：在没有半闭-半开元音对立的方言中，统一转写为半闭元音。</w:t>
      </w:r>
    </w:p>
    <w:p>
      <w:pPr>
        <w:pStyle w:val="2"/>
        <w:spacing w:before="320" w:after="120" w:line="288" w:lineRule="auto"/>
        <w:ind w:left="0"/>
        <w:jc w:val="left"/>
        <w:outlineLvl w:val="1"/>
      </w:pPr>
      <w:bookmarkStart w:name="heading_12" w:id="12"/>
      <w:r>
        <w:rPr>
          <w:rFonts w:eastAsia="等线" w:ascii="Arial" w:cs="Arial" w:hAnsi="Arial"/>
          <w:b w:val="true"/>
          <w:sz w:val="32"/>
        </w:rPr>
        <w:t>声调</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声调符号的规定</w:t>
      </w:r>
      <w:bookmarkEnd w:id="13"/>
    </w:p>
    <w:p>
      <w:pPr>
        <w:numPr>
          <w:numId w:val="66"/>
        </w:numPr>
        <w:spacing w:before="120" w:after="120" w:line="288" w:lineRule="auto"/>
        <w:ind w:left="0"/>
        <w:jc w:val="left"/>
      </w:pPr>
      <w:r>
        <w:rPr>
          <w:rFonts w:eastAsia="等线" w:ascii="Arial" w:cs="Arial" w:hAnsi="Arial"/>
          <w:color w:val="1f2329"/>
          <w:sz w:val="22"/>
        </w:rPr>
        <w:t>莆拼使用调号和调符来标记声调。</w:t>
      </w:r>
    </w:p>
    <w:p>
      <w:pPr>
        <w:numPr>
          <w:numId w:val="67"/>
        </w:numPr>
        <w:spacing w:before="120" w:after="120" w:line="288" w:lineRule="auto"/>
        <w:ind w:left="453"/>
        <w:jc w:val="left"/>
      </w:pPr>
      <w:r>
        <w:rPr>
          <w:rFonts w:eastAsia="等线" w:ascii="Arial" w:cs="Arial" w:hAnsi="Arial"/>
          <w:sz w:val="22"/>
        </w:rPr>
        <w:t>二者分场景使用。调号与键入式配合使用，建议用于计算机资料整理、储存，或者各种电子产品终端的输入与显示；调符与手写式配合使用，主要用于线下手写的场景，如：现场记录方言与开展方言教学。</w:t>
      </w:r>
    </w:p>
    <w:p>
      <w:pPr>
        <w:numPr>
          <w:numId w:val="68"/>
        </w:numPr>
        <w:spacing w:before="120" w:after="120" w:line="288" w:lineRule="auto"/>
        <w:ind w:left="453"/>
        <w:jc w:val="left"/>
      </w:pPr>
      <w:r>
        <w:rPr>
          <w:rFonts w:eastAsia="等线" w:ascii="Arial" w:cs="Arial" w:hAnsi="Arial"/>
          <w:sz w:val="22"/>
        </w:rPr>
        <w:t>数字调号仅用于键入式；调符建议配合手写式使用，如有需要，可将调符标在键入式上。</w:t>
      </w:r>
    </w:p>
    <w:p>
      <w:pPr>
        <w:numPr>
          <w:numId w:val="69"/>
        </w:numPr>
        <w:spacing w:before="120" w:after="120" w:line="288" w:lineRule="auto"/>
        <w:ind w:left="0"/>
        <w:jc w:val="left"/>
      </w:pPr>
      <w:r>
        <w:rPr>
          <w:rFonts w:eastAsia="等线" w:ascii="Arial" w:cs="Arial" w:hAnsi="Arial"/>
          <w:sz w:val="22"/>
        </w:rPr>
        <w:t>下表为莆仙话声调在莆拼中的写法。</w:t>
      </w:r>
    </w:p>
    <w:p>
      <w:pPr>
        <w:numPr>
          <w:numId w:val="70"/>
        </w:numPr>
        <w:spacing w:before="120" w:after="120" w:line="288" w:lineRule="auto"/>
        <w:ind w:left="453"/>
        <w:jc w:val="left"/>
      </w:pPr>
      <w:r>
        <w:rPr>
          <w:rFonts w:eastAsia="等线" w:ascii="Arial" w:cs="Arial" w:hAnsi="Arial"/>
          <w:sz w:val="22"/>
        </w:rPr>
        <w:t>不同的资料、不同的学者所描写的调值略有差异，此处综合各家主流调值。</w:t>
      </w:r>
    </w:p>
    <w:p>
      <w:pPr>
        <w:numPr>
          <w:numId w:val="71"/>
        </w:numPr>
        <w:spacing w:before="120" w:after="120" w:line="288" w:lineRule="auto"/>
        <w:ind w:left="453"/>
        <w:jc w:val="left"/>
      </w:pPr>
      <w:r>
        <w:rPr>
          <w:rFonts w:eastAsia="等线" w:ascii="Arial" w:cs="Arial" w:hAnsi="Arial"/>
          <w:sz w:val="22"/>
        </w:rPr>
        <w:t>阳入(白)，即：原文阳入调的部分字的白读，一些资料称为“阳入乙”（与“阳入甲”区分），如今在莆仙主要地区仅剩部分老派仍留存该声调，而在多数人口中业已混入阳平调（江口地区混入上声），不再保持独立调，无法区分，因此这部分人群可遵循个人口音，标成阳平（或上声），如：月guei</w:t>
      </w:r>
      <w:r>
        <w:rPr>
          <w:rFonts w:eastAsia="等线" w:ascii="Arial" w:cs="Arial" w:hAnsi="Arial"/>
          <w:color w:val="1f2329"/>
          <w:sz w:val="22"/>
        </w:rPr>
        <w:t>²（老派guei⁸），席 cieo²（老派cieo⁸）。</w:t>
      </w:r>
    </w:p>
    <w:p>
      <w:pPr>
        <w:numPr>
          <w:numId w:val="72"/>
        </w:numPr>
        <w:spacing w:before="120" w:after="120" w:line="288" w:lineRule="auto"/>
        <w:ind w:left="453"/>
        <w:jc w:val="left"/>
      </w:pPr>
      <w:r>
        <w:rPr>
          <w:rFonts w:eastAsia="等线" w:ascii="Arial" w:cs="Arial" w:hAnsi="Arial"/>
          <w:sz w:val="22"/>
        </w:rPr>
        <w:t>人称代词、指示代词往往会发生促化，带有喉塞尾，但调值为32，莆拼调号记为3，如：汝dy</w:t>
      </w:r>
      <w:r>
        <w:rPr>
          <w:rFonts w:eastAsia="等线" w:ascii="Arial" w:cs="Arial" w:hAnsi="Arial"/>
          <w:color w:val="1f2329"/>
          <w:sz w:val="22"/>
        </w:rPr>
        <w:t>h³。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675"/>
        <w:gridCol w:w="780"/>
        <w:gridCol w:w="945"/>
        <w:gridCol w:w="675"/>
        <w:gridCol w:w="765"/>
        <w:gridCol w:w="675"/>
        <w:gridCol w:w="780"/>
        <w:gridCol w:w="1080"/>
        <w:gridCol w:w="67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声调名称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阴平</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阳平</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阴去</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阳去</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阴入</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阳入</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阳入(白)</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轻声</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调值</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533</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13/24</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453/332</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21/11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24/4</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调号</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2</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3</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4</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5</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7</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8</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0</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举例</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a¹</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a²</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a³</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a⁴</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a⁵</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ah⁶</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ah⁷</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a⁸</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a⁰</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调符</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◌́h/◌̄h</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举例</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â</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à</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ǎ</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ǎh</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áh/āh</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bl>
    <w:p>
      <w:pPr>
        <w:pStyle w:val="3"/>
        <w:spacing w:before="300" w:after="120" w:line="288" w:lineRule="auto"/>
        <w:ind w:left="0"/>
        <w:jc w:val="left"/>
        <w:outlineLvl w:val="2"/>
      </w:pPr>
      <w:bookmarkStart w:name="heading_14" w:id="14"/>
      <w:r>
        <w:rPr>
          <w:rFonts w:eastAsia="等线" w:ascii="Arial" w:cs="Arial" w:hAnsi="Arial"/>
          <w:b w:val="true"/>
          <w:color w:val="1f2329"/>
          <w:sz w:val="30"/>
        </w:rPr>
        <w:t>声调符号使用说明</w:t>
      </w:r>
      <w:bookmarkEnd w:id="14"/>
    </w:p>
    <w:p>
      <w:pPr>
        <w:numPr>
          <w:numId w:val="73"/>
        </w:numPr>
        <w:spacing w:before="120" w:after="120" w:line="288" w:lineRule="auto"/>
        <w:ind w:left="0"/>
        <w:jc w:val="left"/>
      </w:pPr>
      <w:r>
        <w:rPr>
          <w:rFonts w:eastAsia="等线" w:ascii="Arial" w:cs="Arial" w:hAnsi="Arial"/>
          <w:sz w:val="22"/>
        </w:rPr>
        <w:t>调号数字建议小写标于音节右上角。若不方便，可不上标。</w:t>
      </w:r>
    </w:p>
    <w:p>
      <w:pPr>
        <w:numPr>
          <w:numId w:val="74"/>
        </w:numPr>
        <w:spacing w:before="120" w:after="120" w:line="288" w:lineRule="auto"/>
        <w:ind w:left="0"/>
        <w:jc w:val="left"/>
      </w:pPr>
      <w:r>
        <w:rPr>
          <w:rFonts w:eastAsia="等线" w:ascii="Arial" w:cs="Arial" w:hAnsi="Arial"/>
          <w:sz w:val="22"/>
        </w:rPr>
        <w:t>调符标记的位置，应在主元音上，如：表biêo；若要将调符标在键入式上，对于2个字母组合的单元音的情况，调符应标在第一个字母的上方，如：虾hór。</w:t>
      </w:r>
    </w:p>
    <w:p>
      <w:pPr>
        <w:numPr>
          <w:numId w:val="75"/>
        </w:numPr>
        <w:spacing w:before="120" w:after="120" w:line="288" w:lineRule="auto"/>
        <w:ind w:left="0"/>
        <w:jc w:val="left"/>
      </w:pPr>
      <w:r>
        <w:rPr>
          <w:rFonts w:eastAsia="等线" w:ascii="Arial" w:cs="Arial" w:hAnsi="Arial"/>
          <w:sz w:val="22"/>
        </w:rPr>
        <w:t>在使用调号标记声调时，如果音节发生连读变调现象，可以考虑使用连字符“-”连接变调前后的两个调号，如：白菜 ba2-1 lai4。也可以不使用连字符，直接标本调或变调后的调号。</w:t>
      </w:r>
    </w:p>
    <w:p>
      <w:pPr>
        <w:numPr>
          <w:numId w:val="76"/>
        </w:numPr>
        <w:spacing w:before="120" w:after="120" w:line="288" w:lineRule="auto"/>
        <w:ind w:left="0"/>
        <w:jc w:val="left"/>
      </w:pPr>
      <w:r>
        <w:rPr>
          <w:rFonts w:eastAsia="等线" w:ascii="Arial" w:cs="Arial" w:hAnsi="Arial"/>
          <w:sz w:val="22"/>
        </w:rPr>
        <w:t>莆仙话在连读变调中会产生若干个上标中单字所没有的全新调值，如：55、33、22、5等，诸如此类，建议就近标为调号1、3、5、7。如：遥控ieo2-1 korng4(iēo kö̀ng)，新闻 sing1-5 mong2(sǐng móng)，国家 gorh6-7 ga1(ɡȫh ɡā)。</w:t>
      </w:r>
    </w:p>
    <w:p>
      <w:pPr>
        <w:pStyle w:val="2"/>
        <w:spacing w:before="320" w:after="120" w:line="288" w:lineRule="auto"/>
        <w:ind w:left="0"/>
        <w:jc w:val="left"/>
        <w:outlineLvl w:val="1"/>
      </w:pPr>
      <w:bookmarkStart w:name="heading_15" w:id="15"/>
      <w:r>
        <w:rPr>
          <w:rFonts w:eastAsia="等线" w:ascii="Arial" w:cs="Arial" w:hAnsi="Arial"/>
          <w:b w:val="true"/>
          <w:sz w:val="32"/>
        </w:rPr>
        <w:t>其他符号</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连字符</w:t>
      </w:r>
      <w:bookmarkEnd w:id="16"/>
    </w:p>
    <w:p>
      <w:pPr>
        <w:spacing w:before="120" w:after="120" w:line="288" w:lineRule="auto"/>
        <w:ind w:left="0"/>
        <w:jc w:val="left"/>
      </w:pPr>
      <w:r>
        <w:rPr>
          <w:rFonts w:eastAsia="等线" w:ascii="Arial" w:cs="Arial" w:hAnsi="Arial"/>
          <w:sz w:val="22"/>
        </w:rPr>
        <w:t>可选，用于隔开变调前后的调号。详情见“声调符号使用说明”部分内容。</w:t>
      </w:r>
    </w:p>
    <w:p>
      <w:pPr>
        <w:pStyle w:val="3"/>
        <w:spacing w:before="300" w:after="120" w:line="288" w:lineRule="auto"/>
        <w:ind w:left="0"/>
        <w:jc w:val="left"/>
        <w:outlineLvl w:val="2"/>
      </w:pPr>
      <w:bookmarkStart w:name="heading_17" w:id="17"/>
      <w:r>
        <w:rPr>
          <w:rFonts w:eastAsia="等线" w:ascii="Arial" w:cs="Arial" w:hAnsi="Arial"/>
          <w:b w:val="true"/>
          <w:sz w:val="30"/>
        </w:rPr>
        <w:t>大小写</w:t>
      </w:r>
      <w:bookmarkEnd w:id="17"/>
    </w:p>
    <w:p>
      <w:pPr>
        <w:spacing w:before="120" w:after="120" w:line="288" w:lineRule="auto"/>
        <w:ind w:left="0"/>
        <w:jc w:val="left"/>
      </w:pPr>
      <w:r>
        <w:rPr>
          <w:rFonts w:eastAsia="等线" w:ascii="Arial" w:cs="Arial" w:hAnsi="Arial"/>
          <w:sz w:val="22"/>
        </w:rPr>
        <w:t>莆拼非文字，仅为字音标注使用，无需区分大小写。</w:t>
      </w:r>
    </w:p>
    <w:p>
      <w:pPr>
        <w:pStyle w:val="3"/>
        <w:spacing w:before="300" w:after="120" w:line="288" w:lineRule="auto"/>
        <w:ind w:left="0"/>
        <w:jc w:val="left"/>
        <w:outlineLvl w:val="2"/>
      </w:pPr>
      <w:bookmarkStart w:name="heading_18" w:id="18"/>
      <w:r>
        <w:rPr>
          <w:rFonts w:eastAsia="等线" w:ascii="Arial" w:cs="Arial" w:hAnsi="Arial"/>
          <w:b w:val="true"/>
          <w:sz w:val="30"/>
        </w:rPr>
        <w:t>标点符号</w:t>
      </w:r>
      <w:bookmarkEnd w:id="18"/>
    </w:p>
    <w:p>
      <w:pPr>
        <w:spacing w:before="120" w:after="120" w:line="288" w:lineRule="auto"/>
        <w:ind w:left="0"/>
        <w:jc w:val="left"/>
      </w:pPr>
      <w:r>
        <w:rPr>
          <w:rFonts w:eastAsia="等线" w:ascii="Arial" w:cs="Arial" w:hAnsi="Arial"/>
          <w:sz w:val="22"/>
        </w:rPr>
        <w:t>莆拼非文字，仅为字音标注使用，无需添加标点符号。若需分隔词句可使用“/”隔开。</w:t>
      </w:r>
    </w:p>
    <w:p>
      <w:pPr>
        <w:pStyle w:val="1"/>
        <w:spacing w:before="380" w:after="140" w:line="288" w:lineRule="auto"/>
        <w:ind w:left="0"/>
        <w:jc w:val="left"/>
        <w:outlineLvl w:val="0"/>
      </w:pPr>
      <w:bookmarkStart w:name="heading_19" w:id="19"/>
      <w:r>
        <w:rPr>
          <w:rFonts w:eastAsia="等线" w:ascii="Arial" w:cs="Arial" w:hAnsi="Arial"/>
          <w:b w:val="true"/>
          <w:color w:val="1f2329"/>
          <w:sz w:val="36"/>
        </w:rPr>
        <w:t>规范管理</w:t>
      </w:r>
      <w:bookmarkEnd w:id="19"/>
    </w:p>
    <w:p>
      <w:pPr>
        <w:pStyle w:val="2"/>
        <w:spacing w:before="320" w:after="120" w:line="288" w:lineRule="auto"/>
        <w:ind w:left="453"/>
        <w:jc w:val="left"/>
        <w:outlineLvl w:val="1"/>
      </w:pPr>
      <w:bookmarkStart w:name="heading_20" w:id="20"/>
      <w:r>
        <w:rPr>
          <w:rFonts w:eastAsia="等线" w:ascii="Arial" w:cs="Arial" w:hAnsi="Arial"/>
          <w:b w:val="true"/>
          <w:color w:val="1f2329"/>
          <w:sz w:val="32"/>
        </w:rPr>
        <w:t>名称规范</w:t>
      </w:r>
      <w:bookmarkEnd w:id="20"/>
    </w:p>
    <w:p>
      <w:pPr>
        <w:numPr>
          <w:numId w:val="77"/>
        </w:numPr>
        <w:spacing w:before="120" w:after="120" w:line="288" w:lineRule="auto"/>
        <w:ind w:left="453"/>
        <w:jc w:val="left"/>
      </w:pPr>
      <w:r>
        <w:rPr>
          <w:rFonts w:eastAsia="等线" w:ascii="Arial" w:cs="Arial" w:hAnsi="Arial"/>
          <w:color w:val="1f2329"/>
          <w:sz w:val="22"/>
        </w:rPr>
        <w:t>本方案中文全名为"莆仙话拼音方案"，简称“莆拼”。可在拉丁字母中写为 "Pouping"。用于计算机代码中时，亦可写作 "pouping"。</w:t>
      </w:r>
    </w:p>
    <w:p>
      <w:pPr>
        <w:pStyle w:val="2"/>
        <w:spacing w:before="320" w:after="120" w:line="288" w:lineRule="auto"/>
        <w:ind w:left="453"/>
        <w:jc w:val="left"/>
        <w:outlineLvl w:val="1"/>
      </w:pPr>
      <w:bookmarkStart w:name="heading_21" w:id="21"/>
      <w:r>
        <w:rPr>
          <w:rFonts w:eastAsia="等线" w:ascii="Arial" w:cs="Arial" w:hAnsi="Arial"/>
          <w:b w:val="true"/>
          <w:color w:val="1f2329"/>
          <w:sz w:val="32"/>
        </w:rPr>
        <w:t>版本控制</w:t>
      </w:r>
      <w:bookmarkEnd w:id="21"/>
    </w:p>
    <w:p>
      <w:pPr>
        <w:numPr>
          <w:numId w:val="78"/>
        </w:numPr>
        <w:spacing w:before="120" w:after="120" w:line="288" w:lineRule="auto"/>
        <w:ind w:left="453"/>
        <w:jc w:val="left"/>
      </w:pPr>
      <w:r>
        <w:rPr>
          <w:rFonts w:eastAsia="等线" w:ascii="Arial" w:cs="Arial" w:hAnsi="Arial"/>
          <w:color w:val="1f2329"/>
          <w:sz w:val="22"/>
        </w:rPr>
        <w:t>原则上遵循《语义化版本》。</w:t>
      </w:r>
    </w:p>
    <w:p>
      <w:pPr>
        <w:numPr>
          <w:numId w:val="79"/>
        </w:numPr>
        <w:spacing w:before="120" w:after="120" w:line="288" w:lineRule="auto"/>
        <w:ind w:left="453"/>
        <w:jc w:val="left"/>
      </w:pPr>
      <w:r>
        <w:rPr>
          <w:rFonts w:eastAsia="等线" w:ascii="Arial" w:cs="Arial" w:hAnsi="Arial"/>
          <w:color w:val="1f2329"/>
          <w:sz w:val="22"/>
        </w:rPr>
        <w:t>每次对方案文本的修订，都需要将版本号增加。同一时间只有一个版本号，主方案和各地分册始终是同一个版本号。版本号只写在主方案内。对各地分册的修改也需递增主方案内的版本号。具体而言:</w:t>
      </w:r>
    </w:p>
    <w:p>
      <w:pPr>
        <w:numPr>
          <w:numId w:val="80"/>
        </w:numPr>
        <w:spacing w:before="120" w:after="120" w:line="288" w:lineRule="auto"/>
        <w:ind w:left="907"/>
        <w:jc w:val="left"/>
      </w:pPr>
      <w:r>
        <w:rPr>
          <w:rFonts w:eastAsia="等线" w:ascii="Arial" w:cs="Arial" w:hAnsi="Arial"/>
          <w:color w:val="1f2329"/>
          <w:sz w:val="22"/>
        </w:rPr>
        <w:t>若对方案白皮书的修订不影响任何已有的使用和未来使用莆拼的文本，则只需修改修订号。</w:t>
      </w:r>
    </w:p>
    <w:p>
      <w:pPr>
        <w:numPr>
          <w:numId w:val="81"/>
        </w:numPr>
        <w:spacing w:before="120" w:after="120" w:line="288" w:lineRule="auto"/>
        <w:ind w:left="907"/>
        <w:jc w:val="left"/>
      </w:pPr>
      <w:r>
        <w:rPr>
          <w:rFonts w:eastAsia="等线" w:ascii="Arial" w:cs="Arial" w:hAnsi="Arial"/>
          <w:color w:val="1f2329"/>
          <w:sz w:val="22"/>
        </w:rPr>
        <w:t>若对方案白皮书的修订不影响任何已有对文本，但新增了新的用法，则至少需递增次版本号。（如果修订变化很大，也可以递增主版本号）</w:t>
      </w:r>
    </w:p>
    <w:p>
      <w:pPr>
        <w:numPr>
          <w:numId w:val="82"/>
        </w:numPr>
        <w:spacing w:before="120" w:after="120" w:line="288" w:lineRule="auto"/>
        <w:ind w:left="907"/>
        <w:jc w:val="left"/>
      </w:pPr>
      <w:r>
        <w:rPr>
          <w:rFonts w:eastAsia="等线" w:ascii="Arial" w:cs="Arial" w:hAnsi="Arial"/>
          <w:color w:val="1f2329"/>
          <w:sz w:val="22"/>
        </w:rPr>
        <w:t>若对方案白皮书的修订会影响现有的用法，则必须递增主版本号。</w:t>
      </w:r>
    </w:p>
    <w:p>
      <w:pPr>
        <w:numPr>
          <w:numId w:val="83"/>
        </w:numPr>
        <w:spacing w:before="120" w:after="120" w:line="288" w:lineRule="auto"/>
        <w:ind w:left="907"/>
        <w:jc w:val="left"/>
      </w:pPr>
      <w:r>
        <w:rPr>
          <w:rFonts w:eastAsia="等线" w:ascii="Arial" w:cs="Arial" w:hAnsi="Arial"/>
          <w:color w:val="1f2329"/>
          <w:sz w:val="22"/>
        </w:rPr>
        <w:t>例如：</w:t>
      </w:r>
    </w:p>
    <w:p>
      <w:pPr>
        <w:numPr>
          <w:numId w:val="84"/>
        </w:numPr>
        <w:spacing w:before="120" w:after="120" w:line="288" w:lineRule="auto"/>
        <w:ind w:left="1360"/>
        <w:jc w:val="left"/>
      </w:pPr>
      <w:r>
        <w:rPr>
          <w:rFonts w:eastAsia="等线" w:ascii="Arial" w:cs="Arial" w:hAnsi="Arial"/>
          <w:color w:val="1f2329"/>
          <w:sz w:val="22"/>
        </w:rPr>
        <w:t>修改已有符号的含义或用法 ⇒ 主版本号</w:t>
      </w:r>
    </w:p>
    <w:p>
      <w:pPr>
        <w:numPr>
          <w:numId w:val="85"/>
        </w:numPr>
        <w:spacing w:before="120" w:after="120" w:line="288" w:lineRule="auto"/>
        <w:ind w:left="1360"/>
        <w:jc w:val="left"/>
      </w:pPr>
      <w:r>
        <w:rPr>
          <w:rFonts w:eastAsia="等线" w:ascii="Arial" w:cs="Arial" w:hAnsi="Arial"/>
          <w:color w:val="1f2329"/>
          <w:sz w:val="22"/>
        </w:rPr>
        <w:t>新增声母、韵母、声调符号，用于表示新的读音，而无需改动现有文本 ⇒ 次版本号。</w:t>
      </w:r>
    </w:p>
    <w:p>
      <w:pPr>
        <w:numPr>
          <w:numId w:val="86"/>
        </w:numPr>
        <w:spacing w:before="120" w:after="120" w:line="288" w:lineRule="auto"/>
        <w:ind w:left="1360"/>
        <w:jc w:val="left"/>
      </w:pPr>
      <w:r>
        <w:rPr>
          <w:rFonts w:eastAsia="等线" w:ascii="Arial" w:cs="Arial" w:hAnsi="Arial"/>
          <w:color w:val="1f2329"/>
          <w:sz w:val="22"/>
        </w:rPr>
        <w:t>方案文本字句修订、对现有用法的澄清、排版修改、段落排列顺序修改 ⇒ 修订号</w:t>
      </w:r>
    </w:p>
    <w:p>
      <w:pPr>
        <w:pStyle w:val="2"/>
        <w:spacing w:before="320" w:after="120" w:line="288" w:lineRule="auto"/>
        <w:ind w:left="453"/>
        <w:jc w:val="left"/>
        <w:outlineLvl w:val="1"/>
      </w:pPr>
      <w:bookmarkStart w:name="heading_22" w:id="22"/>
      <w:r>
        <w:rPr>
          <w:rFonts w:eastAsia="等线" w:ascii="Arial" w:cs="Arial" w:hAnsi="Arial"/>
          <w:b w:val="true"/>
          <w:color w:val="1f2329"/>
          <w:sz w:val="32"/>
        </w:rPr>
        <w:t>修订方式</w:t>
      </w:r>
      <w:bookmarkEnd w:id="22"/>
    </w:p>
    <w:p>
      <w:pPr>
        <w:numPr>
          <w:numId w:val="87"/>
        </w:numPr>
        <w:spacing w:before="120" w:after="120" w:line="288" w:lineRule="auto"/>
        <w:ind w:left="453"/>
        <w:jc w:val="left"/>
      </w:pPr>
      <w:r>
        <w:rPr>
          <w:rFonts w:eastAsia="等线" w:ascii="Arial" w:cs="Arial" w:hAnsi="Arial"/>
          <w:sz w:val="22"/>
        </w:rPr>
        <w:t>现阶段暂由专人负责直接修订文档。</w:t>
      </w:r>
    </w:p>
    <w:p>
      <w:pPr>
        <w:numPr>
          <w:numId w:val="88"/>
        </w:numPr>
        <w:spacing w:before="120" w:after="120" w:line="288" w:lineRule="auto"/>
        <w:ind w:left="453"/>
        <w:jc w:val="left"/>
      </w:pPr>
      <w:r>
        <w:rPr>
          <w:rFonts w:eastAsia="等线" w:ascii="Arial" w:cs="Arial" w:hAnsi="Arial"/>
          <w:sz w:val="22"/>
        </w:rPr>
        <w:t>修订内容需在群组内讨论通过方可修订。</w:t>
      </w:r>
    </w:p>
    <w:p>
      <w:pPr>
        <w:pStyle w:val="1"/>
        <w:spacing w:before="380" w:after="140" w:line="288" w:lineRule="auto"/>
        <w:ind w:left="0"/>
        <w:jc w:val="left"/>
        <w:outlineLvl w:val="0"/>
      </w:pPr>
      <w:bookmarkStart w:name="heading_23" w:id="23"/>
      <w:r>
        <w:rPr>
          <w:rFonts w:eastAsia="等线" w:ascii="Arial" w:cs="Arial" w:hAnsi="Arial"/>
          <w:b w:val="true"/>
          <w:sz w:val="36"/>
        </w:rPr>
        <w:t>参考文献</w:t>
      </w:r>
      <w:bookmarkEnd w:id="23"/>
    </w:p>
    <w:p>
      <w:pPr>
        <w:spacing w:before="120" w:after="120" w:line="288" w:lineRule="auto"/>
        <w:ind w:left="0"/>
        <w:jc w:val="left"/>
      </w:pPr>
      <w:r>
        <w:rPr>
          <w:rFonts w:eastAsia="等线" w:ascii="Arial" w:cs="Arial" w:hAnsi="Arial"/>
          <w:sz w:val="22"/>
        </w:rPr>
        <w:t>[1]莆田县县志编集委员会 [M].莆田县志 .:,1964.</w:t>
      </w:r>
    </w:p>
    <w:p>
      <w:pPr>
        <w:spacing w:before="120" w:after="120" w:line="288" w:lineRule="auto"/>
        <w:ind w:left="0"/>
        <w:jc w:val="left"/>
      </w:pPr>
      <w:r>
        <w:rPr>
          <w:rFonts w:eastAsia="等线" w:ascii="Arial" w:cs="Arial" w:hAnsi="Arial"/>
          <w:sz w:val="22"/>
        </w:rPr>
        <w:t>[2]刘鸿俊 .莆仙方言字典[M]. .:,1988.</w:t>
      </w:r>
    </w:p>
    <w:p>
      <w:pPr>
        <w:spacing w:before="120" w:after="120" w:line="288" w:lineRule="auto"/>
        <w:ind w:left="0"/>
        <w:jc w:val="left"/>
      </w:pPr>
      <w:r>
        <w:rPr>
          <w:rFonts w:eastAsia="等线" w:ascii="Arial" w:cs="Arial" w:hAnsi="Arial"/>
          <w:sz w:val="22"/>
        </w:rPr>
        <w:t>[3]福建省莆田市地方志编纂委员会 [M].莆田市志 .北京：方志出版社， 2001.</w:t>
      </w:r>
    </w:p>
    <w:p>
      <w:pPr>
        <w:spacing w:before="120" w:after="120" w:line="288" w:lineRule="auto"/>
        <w:ind w:left="0"/>
        <w:jc w:val="left"/>
      </w:pPr>
      <w:r>
        <w:rPr>
          <w:rFonts w:eastAsia="等线" w:ascii="Arial" w:cs="Arial" w:hAnsi="Arial"/>
          <w:sz w:val="22"/>
        </w:rPr>
        <w:t>[4]黄国城 .莆仙方言大词典 [M].厦门：厦门大学出版社， ，2021.</w:t>
      </w:r>
    </w:p>
    <w:p>
      <w:pPr>
        <w:spacing w:before="120" w:after="120" w:line="288" w:lineRule="auto"/>
        <w:ind w:left="0"/>
        <w:jc w:val="left"/>
      </w:pPr>
      <w:r>
        <w:rPr>
          <w:rFonts w:eastAsia="等线" w:ascii="Arial" w:cs="Arial" w:hAnsi="Arial"/>
          <w:sz w:val="22"/>
        </w:rPr>
        <w:t>[5]陈浩淼 .莆仙方言语音比较研究[D].福建师范大学,2020.</w:t>
      </w:r>
    </w:p>
    <w:p>
      <w:pPr>
        <w:spacing w:before="120" w:after="120" w:line="288" w:lineRule="auto"/>
        <w:ind w:left="0"/>
        <w:jc w:val="left"/>
      </w:pPr>
      <w:r>
        <w:rPr>
          <w:rFonts w:eastAsia="等线" w:ascii="Arial" w:cs="Arial" w:hAnsi="Arial"/>
          <w:sz w:val="22"/>
        </w:rPr>
        <w:t>[6] Zingzeu Team. 榕拼方案规范文档[EB/OL]. (</w:t>
      </w:r>
      <w:r>
        <w:rPr>
          <w:rFonts w:eastAsia="等线" w:ascii="Arial" w:cs="Arial" w:hAnsi="Arial"/>
          <w:color w:val="1f2329"/>
          <w:sz w:val="22"/>
        </w:rPr>
        <w:t>2024-12-21</w:t>
      </w:r>
      <w:r>
        <w:rPr>
          <w:rFonts w:eastAsia="等线" w:ascii="Arial" w:cs="Arial" w:hAnsi="Arial"/>
          <w:sz w:val="22"/>
        </w:rPr>
        <w:t xml:space="preserve">)[2025-03-06]. </w:t>
      </w:r>
      <w:r>
        <w:rPr>
          <w:rFonts w:eastAsia="等线" w:ascii="Arial" w:cs="Arial" w:hAnsi="Arial"/>
          <w:sz w:val="22"/>
        </w:rPr>
        <w:t>https://zingzeu-team.feishu.cn/docx/doxcns43c58mqNBwKD2pGRN5NXg</w:t>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93288">
    <w:lvl>
      <w:numFmt w:val="bullet"/>
      <w:suff w:val="tab"/>
      <w:lvlText w:val="•"/>
      <w:rPr>
        <w:color w:val="3370ff"/>
      </w:rPr>
    </w:lvl>
  </w:abstractNum>
  <w:abstractNum w:abstractNumId="793289">
    <w:lvl>
      <w:numFmt w:val="bullet"/>
      <w:suff w:val="tab"/>
      <w:lvlText w:val="•"/>
      <w:rPr>
        <w:color w:val="3370ff"/>
      </w:rPr>
    </w:lvl>
  </w:abstractNum>
  <w:abstractNum w:abstractNumId="793290">
    <w:lvl>
      <w:numFmt w:val="bullet"/>
      <w:suff w:val="tab"/>
      <w:lvlText w:val="•"/>
      <w:rPr>
        <w:color w:val="3370ff"/>
      </w:rPr>
    </w:lvl>
  </w:abstractNum>
  <w:abstractNum w:abstractNumId="793291">
    <w:lvl>
      <w:numFmt w:val="bullet"/>
      <w:suff w:val="tab"/>
      <w:lvlText w:val="•"/>
      <w:rPr>
        <w:color w:val="3370ff"/>
      </w:rPr>
    </w:lvl>
  </w:abstractNum>
  <w:abstractNum w:abstractNumId="793292">
    <w:lvl>
      <w:numFmt w:val="bullet"/>
      <w:suff w:val="tab"/>
      <w:lvlText w:val="•"/>
      <w:rPr>
        <w:color w:val="3370ff"/>
      </w:rPr>
    </w:lvl>
  </w:abstractNum>
  <w:abstractNum w:abstractNumId="793293">
    <w:lvl>
      <w:numFmt w:val="bullet"/>
      <w:suff w:val="tab"/>
      <w:lvlText w:val="￮"/>
      <w:rPr>
        <w:color w:val="3370ff"/>
      </w:rPr>
    </w:lvl>
  </w:abstractNum>
  <w:abstractNum w:abstractNumId="793294">
    <w:lvl>
      <w:numFmt w:val="bullet"/>
      <w:suff w:val="tab"/>
      <w:lvlText w:val="￮"/>
      <w:rPr>
        <w:color w:val="3370ff"/>
      </w:rPr>
    </w:lvl>
  </w:abstractNum>
  <w:abstractNum w:abstractNumId="793295">
    <w:lvl>
      <w:numFmt w:val="bullet"/>
      <w:suff w:val="tab"/>
      <w:lvlText w:val="•"/>
      <w:rPr>
        <w:color w:val="3370ff"/>
      </w:rPr>
    </w:lvl>
  </w:abstractNum>
  <w:abstractNum w:abstractNumId="793296">
    <w:lvl>
      <w:numFmt w:val="bullet"/>
      <w:suff w:val="tab"/>
      <w:lvlText w:val="￮"/>
      <w:rPr>
        <w:color w:val="3370ff"/>
      </w:rPr>
    </w:lvl>
  </w:abstractNum>
  <w:abstractNum w:abstractNumId="793297">
    <w:lvl>
      <w:numFmt w:val="bullet"/>
      <w:suff w:val="tab"/>
      <w:lvlText w:val="￮"/>
      <w:rPr>
        <w:color w:val="3370ff"/>
      </w:rPr>
    </w:lvl>
  </w:abstractNum>
  <w:abstractNum w:abstractNumId="793298">
    <w:lvl>
      <w:numFmt w:val="bullet"/>
      <w:suff w:val="tab"/>
      <w:lvlText w:val="▪"/>
      <w:rPr>
        <w:color w:val="3370ff"/>
        <w:sz w:val="11"/>
      </w:rPr>
    </w:lvl>
  </w:abstractNum>
  <w:abstractNum w:abstractNumId="793299">
    <w:lvl>
      <w:numFmt w:val="bullet"/>
      <w:suff w:val="tab"/>
      <w:lvlText w:val="▪"/>
      <w:rPr>
        <w:color w:val="3370ff"/>
        <w:sz w:val="11"/>
      </w:rPr>
    </w:lvl>
  </w:abstractNum>
  <w:abstractNum w:abstractNumId="793300">
    <w:lvl>
      <w:numFmt w:val="bullet"/>
      <w:suff w:val="tab"/>
      <w:lvlText w:val="•"/>
      <w:rPr>
        <w:color w:val="3370ff"/>
      </w:rPr>
    </w:lvl>
  </w:abstractNum>
  <w:abstractNum w:abstractNumId="793301">
    <w:lvl>
      <w:numFmt w:val="bullet"/>
      <w:suff w:val="tab"/>
      <w:lvlText w:val="•"/>
      <w:rPr>
        <w:color w:val="3370ff"/>
      </w:rPr>
    </w:lvl>
  </w:abstractNum>
  <w:abstractNum w:abstractNumId="793302">
    <w:lvl>
      <w:numFmt w:val="bullet"/>
      <w:suff w:val="tab"/>
      <w:lvlText w:val="￮"/>
      <w:rPr>
        <w:color w:val="3370ff"/>
      </w:rPr>
    </w:lvl>
  </w:abstractNum>
  <w:abstractNum w:abstractNumId="793303">
    <w:lvl>
      <w:numFmt w:val="bullet"/>
      <w:suff w:val="tab"/>
      <w:lvlText w:val="￮"/>
      <w:rPr>
        <w:color w:val="3370ff"/>
      </w:rPr>
    </w:lvl>
  </w:abstractNum>
  <w:abstractNum w:abstractNumId="793304">
    <w:lvl>
      <w:numFmt w:val="bullet"/>
      <w:suff w:val="tab"/>
      <w:lvlText w:val="￮"/>
      <w:rPr>
        <w:color w:val="3370ff"/>
      </w:rPr>
    </w:lvl>
  </w:abstractNum>
  <w:abstractNum w:abstractNumId="793305">
    <w:lvl>
      <w:numFmt w:val="bullet"/>
      <w:suff w:val="tab"/>
      <w:lvlText w:val="￮"/>
      <w:rPr>
        <w:color w:val="3370ff"/>
      </w:rPr>
    </w:lvl>
  </w:abstractNum>
  <w:abstractNum w:abstractNumId="793306">
    <w:lvl>
      <w:numFmt w:val="bullet"/>
      <w:suff w:val="tab"/>
      <w:lvlText w:val="•"/>
      <w:rPr>
        <w:color w:val="3370ff"/>
      </w:rPr>
    </w:lvl>
  </w:abstractNum>
  <w:abstractNum w:abstractNumId="793307">
    <w:lvl>
      <w:numFmt w:val="bullet"/>
      <w:suff w:val="tab"/>
      <w:lvlText w:val="•"/>
      <w:rPr>
        <w:color w:val="3370ff"/>
      </w:rPr>
    </w:lvl>
  </w:abstractNum>
  <w:abstractNum w:abstractNumId="793308">
    <w:lvl>
      <w:numFmt w:val="bullet"/>
      <w:suff w:val="tab"/>
      <w:lvlText w:val="￮"/>
      <w:rPr>
        <w:color w:val="3370ff"/>
      </w:rPr>
    </w:lvl>
  </w:abstractNum>
  <w:abstractNum w:abstractNumId="793309">
    <w:lvl>
      <w:numFmt w:val="bullet"/>
      <w:suff w:val="tab"/>
      <w:lvlText w:val="￮"/>
      <w:rPr>
        <w:color w:val="3370ff"/>
      </w:rPr>
    </w:lvl>
  </w:abstractNum>
  <w:abstractNum w:abstractNumId="793310">
    <w:lvl>
      <w:numFmt w:val="bullet"/>
      <w:suff w:val="tab"/>
      <w:lvlText w:val="▪"/>
      <w:rPr>
        <w:color w:val="3370ff"/>
        <w:sz w:val="11"/>
      </w:rPr>
    </w:lvl>
  </w:abstractNum>
  <w:abstractNum w:abstractNumId="793311">
    <w:lvl>
      <w:numFmt w:val="bullet"/>
      <w:suff w:val="tab"/>
      <w:lvlText w:val="▪"/>
      <w:rPr>
        <w:color w:val="3370ff"/>
        <w:sz w:val="11"/>
      </w:rPr>
    </w:lvl>
  </w:abstractNum>
  <w:abstractNum w:abstractNumId="793312">
    <w:lvl>
      <w:numFmt w:val="bullet"/>
      <w:suff w:val="tab"/>
      <w:lvlText w:val="▪"/>
      <w:rPr>
        <w:color w:val="3370ff"/>
        <w:sz w:val="11"/>
      </w:rPr>
    </w:lvl>
  </w:abstractNum>
  <w:abstractNum w:abstractNumId="793313">
    <w:lvl>
      <w:numFmt w:val="bullet"/>
      <w:suff w:val="tab"/>
      <w:lvlText w:val="•"/>
      <w:rPr>
        <w:color w:val="3370ff"/>
      </w:rPr>
    </w:lvl>
  </w:abstractNum>
  <w:abstractNum w:abstractNumId="793314">
    <w:lvl>
      <w:numFmt w:val="bullet"/>
      <w:suff w:val="tab"/>
      <w:lvlText w:val="￮"/>
      <w:rPr>
        <w:color w:val="3370ff"/>
      </w:rPr>
    </w:lvl>
  </w:abstractNum>
  <w:abstractNum w:abstractNumId="793315">
    <w:lvl>
      <w:numFmt w:val="bullet"/>
      <w:suff w:val="tab"/>
      <w:lvlText w:val="￮"/>
      <w:rPr>
        <w:color w:val="3370ff"/>
      </w:rPr>
    </w:lvl>
  </w:abstractNum>
  <w:abstractNum w:abstractNumId="793316">
    <w:lvl>
      <w:numFmt w:val="bullet"/>
      <w:suff w:val="tab"/>
      <w:lvlText w:val="▪"/>
      <w:rPr>
        <w:color w:val="3370ff"/>
        <w:sz w:val="11"/>
      </w:rPr>
    </w:lvl>
  </w:abstractNum>
  <w:abstractNum w:abstractNumId="793317">
    <w:lvl>
      <w:numFmt w:val="bullet"/>
      <w:suff w:val="tab"/>
      <w:lvlText w:val="▪"/>
      <w:rPr>
        <w:color w:val="3370ff"/>
        <w:sz w:val="11"/>
      </w:rPr>
    </w:lvl>
  </w:abstractNum>
  <w:abstractNum w:abstractNumId="793318">
    <w:lvl>
      <w:numFmt w:val="bullet"/>
      <w:suff w:val="tab"/>
      <w:lvlText w:val="▪"/>
      <w:rPr>
        <w:color w:val="3370ff"/>
        <w:sz w:val="11"/>
      </w:rPr>
    </w:lvl>
  </w:abstractNum>
  <w:abstractNum w:abstractNumId="793319">
    <w:lvl>
      <w:numFmt w:val="bullet"/>
      <w:suff w:val="tab"/>
      <w:lvlText w:val="▪"/>
      <w:rPr>
        <w:color w:val="3370ff"/>
        <w:sz w:val="11"/>
      </w:rPr>
    </w:lvl>
  </w:abstractNum>
  <w:abstractNum w:abstractNumId="793320">
    <w:lvl>
      <w:numFmt w:val="bullet"/>
      <w:suff w:val="tab"/>
      <w:lvlText w:val="•"/>
      <w:rPr>
        <w:color w:val="3370ff"/>
      </w:rPr>
    </w:lvl>
  </w:abstractNum>
  <w:abstractNum w:abstractNumId="793321">
    <w:lvl>
      <w:numFmt w:val="bullet"/>
      <w:suff w:val="tab"/>
      <w:lvlText w:val="￮"/>
      <w:rPr>
        <w:color w:val="3370ff"/>
      </w:rPr>
    </w:lvl>
  </w:abstractNum>
  <w:abstractNum w:abstractNumId="793322">
    <w:lvl>
      <w:numFmt w:val="bullet"/>
      <w:suff w:val="tab"/>
      <w:lvlText w:val="￮"/>
      <w:rPr>
        <w:color w:val="3370ff"/>
      </w:rPr>
    </w:lvl>
  </w:abstractNum>
  <w:abstractNum w:abstractNumId="793323">
    <w:lvl>
      <w:numFmt w:val="bullet"/>
      <w:suff w:val="tab"/>
      <w:lvlText w:val="▪"/>
      <w:rPr>
        <w:color w:val="3370ff"/>
        <w:sz w:val="11"/>
      </w:rPr>
    </w:lvl>
  </w:abstractNum>
  <w:abstractNum w:abstractNumId="793324">
    <w:lvl>
      <w:numFmt w:val="bullet"/>
      <w:suff w:val="tab"/>
      <w:lvlText w:val="▪"/>
      <w:rPr>
        <w:color w:val="3370ff"/>
        <w:sz w:val="11"/>
      </w:rPr>
    </w:lvl>
  </w:abstractNum>
  <w:abstractNum w:abstractNumId="793325">
    <w:lvl>
      <w:numFmt w:val="bullet"/>
      <w:suff w:val="tab"/>
      <w:lvlText w:val="•"/>
      <w:rPr>
        <w:color w:val="3370ff"/>
      </w:rPr>
    </w:lvl>
  </w:abstractNum>
  <w:abstractNum w:abstractNumId="793326">
    <w:lvl>
      <w:numFmt w:val="bullet"/>
      <w:suff w:val="tab"/>
      <w:lvlText w:val="￮"/>
      <w:rPr>
        <w:color w:val="3370ff"/>
      </w:rPr>
    </w:lvl>
  </w:abstractNum>
  <w:abstractNum w:abstractNumId="793327">
    <w:lvl>
      <w:numFmt w:val="bullet"/>
      <w:suff w:val="tab"/>
      <w:lvlText w:val="￮"/>
      <w:rPr>
        <w:color w:val="3370ff"/>
      </w:rPr>
    </w:lvl>
  </w:abstractNum>
  <w:abstractNum w:abstractNumId="793328">
    <w:lvl>
      <w:numFmt w:val="bullet"/>
      <w:suff w:val="tab"/>
      <w:lvlText w:val="▪"/>
      <w:rPr>
        <w:color w:val="3370ff"/>
        <w:sz w:val="11"/>
      </w:rPr>
    </w:lvl>
  </w:abstractNum>
  <w:abstractNum w:abstractNumId="793329">
    <w:lvl>
      <w:numFmt w:val="bullet"/>
      <w:suff w:val="tab"/>
      <w:lvlText w:val="▪"/>
      <w:rPr>
        <w:color w:val="3370ff"/>
        <w:sz w:val="11"/>
      </w:rPr>
    </w:lvl>
  </w:abstractNum>
  <w:abstractNum w:abstractNumId="793330">
    <w:lvl>
      <w:numFmt w:val="bullet"/>
      <w:suff w:val="tab"/>
      <w:lvlText w:val="•"/>
      <w:rPr>
        <w:color w:val="3370ff"/>
      </w:rPr>
    </w:lvl>
  </w:abstractNum>
  <w:abstractNum w:abstractNumId="793331">
    <w:lvl>
      <w:numFmt w:val="bullet"/>
      <w:suff w:val="tab"/>
      <w:lvlText w:val="•"/>
      <w:rPr>
        <w:color w:val="3370ff"/>
      </w:rPr>
    </w:lvl>
  </w:abstractNum>
  <w:abstractNum w:abstractNumId="793332">
    <w:lvl>
      <w:numFmt w:val="bullet"/>
      <w:suff w:val="tab"/>
      <w:lvlText w:val="•"/>
      <w:rPr>
        <w:color w:val="3370ff"/>
      </w:rPr>
    </w:lvl>
  </w:abstractNum>
  <w:abstractNum w:abstractNumId="793333">
    <w:lvl>
      <w:numFmt w:val="bullet"/>
      <w:suff w:val="tab"/>
      <w:lvlText w:val="•"/>
      <w:rPr>
        <w:color w:val="3370ff"/>
      </w:rPr>
    </w:lvl>
  </w:abstractNum>
  <w:abstractNum w:abstractNumId="793334">
    <w:lvl>
      <w:numFmt w:val="bullet"/>
      <w:suff w:val="tab"/>
      <w:lvlText w:val="•"/>
      <w:rPr>
        <w:color w:val="3370ff"/>
      </w:rPr>
    </w:lvl>
  </w:abstractNum>
  <w:abstractNum w:abstractNumId="793335">
    <w:lvl>
      <w:numFmt w:val="bullet"/>
      <w:suff w:val="tab"/>
      <w:lvlText w:val="•"/>
      <w:rPr>
        <w:color w:val="3370ff"/>
      </w:rPr>
    </w:lvl>
  </w:abstractNum>
  <w:abstractNum w:abstractNumId="793336">
    <w:lvl>
      <w:numFmt w:val="bullet"/>
      <w:suff w:val="tab"/>
      <w:lvlText w:val="￮"/>
      <w:rPr>
        <w:color w:val="3370ff"/>
      </w:rPr>
    </w:lvl>
  </w:abstractNum>
  <w:abstractNum w:abstractNumId="793337">
    <w:lvl>
      <w:numFmt w:val="bullet"/>
      <w:suff w:val="tab"/>
      <w:lvlText w:val="•"/>
      <w:rPr>
        <w:color w:val="3370ff"/>
      </w:rPr>
    </w:lvl>
  </w:abstractNum>
  <w:abstractNum w:abstractNumId="793338">
    <w:lvl>
      <w:numFmt w:val="bullet"/>
      <w:suff w:val="tab"/>
      <w:lvlText w:val="￮"/>
      <w:rPr>
        <w:color w:val="3370ff"/>
      </w:rPr>
    </w:lvl>
  </w:abstractNum>
  <w:abstractNum w:abstractNumId="793339">
    <w:lvl>
      <w:numFmt w:val="bullet"/>
      <w:suff w:val="tab"/>
      <w:lvlText w:val="￮"/>
      <w:rPr>
        <w:color w:val="3370ff"/>
      </w:rPr>
    </w:lvl>
  </w:abstractNum>
  <w:abstractNum w:abstractNumId="793340">
    <w:lvl>
      <w:numFmt w:val="bullet"/>
      <w:suff w:val="tab"/>
      <w:lvlText w:val="￮"/>
      <w:rPr>
        <w:color w:val="3370ff"/>
      </w:rPr>
    </w:lvl>
  </w:abstractNum>
  <w:abstractNum w:abstractNumId="793341">
    <w:lvl>
      <w:numFmt w:val="bullet"/>
      <w:suff w:val="tab"/>
      <w:lvlText w:val="￮"/>
      <w:rPr>
        <w:color w:val="3370ff"/>
      </w:rPr>
    </w:lvl>
  </w:abstractNum>
  <w:abstractNum w:abstractNumId="793342">
    <w:lvl>
      <w:numFmt w:val="bullet"/>
      <w:suff w:val="tab"/>
      <w:lvlText w:val="•"/>
      <w:rPr>
        <w:color w:val="3370ff"/>
      </w:rPr>
    </w:lvl>
  </w:abstractNum>
  <w:abstractNum w:abstractNumId="793343">
    <w:lvl>
      <w:numFmt w:val="bullet"/>
      <w:suff w:val="tab"/>
      <w:lvlText w:val="•"/>
      <w:rPr>
        <w:color w:val="3370ff"/>
      </w:rPr>
    </w:lvl>
  </w:abstractNum>
  <w:abstractNum w:abstractNumId="793344">
    <w:lvl>
      <w:numFmt w:val="bullet"/>
      <w:suff w:val="tab"/>
      <w:lvlText w:val="•"/>
      <w:rPr>
        <w:color w:val="3370ff"/>
      </w:rPr>
    </w:lvl>
  </w:abstractNum>
  <w:abstractNum w:abstractNumId="793345">
    <w:lvl>
      <w:numFmt w:val="bullet"/>
      <w:suff w:val="tab"/>
      <w:lvlText w:val="•"/>
      <w:rPr>
        <w:color w:val="3370ff"/>
      </w:rPr>
    </w:lvl>
  </w:abstractNum>
  <w:abstractNum w:abstractNumId="793346">
    <w:lvl>
      <w:numFmt w:val="bullet"/>
      <w:suff w:val="tab"/>
      <w:lvlText w:val="￮"/>
      <w:rPr>
        <w:color w:val="3370ff"/>
      </w:rPr>
    </w:lvl>
  </w:abstractNum>
  <w:abstractNum w:abstractNumId="793347">
    <w:lvl>
      <w:numFmt w:val="bullet"/>
      <w:suff w:val="tab"/>
      <w:lvlText w:val="￮"/>
      <w:rPr>
        <w:color w:val="3370ff"/>
      </w:rPr>
    </w:lvl>
  </w:abstractNum>
  <w:abstractNum w:abstractNumId="793348">
    <w:lvl>
      <w:numFmt w:val="bullet"/>
      <w:suff w:val="tab"/>
      <w:lvlText w:val="￮"/>
      <w:rPr>
        <w:color w:val="3370ff"/>
      </w:rPr>
    </w:lvl>
  </w:abstractNum>
  <w:abstractNum w:abstractNumId="793349">
    <w:lvl>
      <w:numFmt w:val="bullet"/>
      <w:suff w:val="tab"/>
      <w:lvlText w:val="•"/>
      <w:rPr>
        <w:color w:val="3370ff"/>
      </w:rPr>
    </w:lvl>
  </w:abstractNum>
  <w:abstractNum w:abstractNumId="793350">
    <w:lvl>
      <w:numFmt w:val="bullet"/>
      <w:suff w:val="tab"/>
      <w:lvlText w:val="•"/>
      <w:rPr>
        <w:color w:val="3370ff"/>
      </w:rPr>
    </w:lvl>
  </w:abstractNum>
  <w:abstractNum w:abstractNumId="793351">
    <w:lvl>
      <w:numFmt w:val="bullet"/>
      <w:suff w:val="tab"/>
      <w:lvlText w:val="•"/>
      <w:rPr>
        <w:color w:val="3370ff"/>
      </w:rPr>
    </w:lvl>
  </w:abstractNum>
  <w:abstractNum w:abstractNumId="793352">
    <w:lvl>
      <w:numFmt w:val="bullet"/>
      <w:suff w:val="tab"/>
      <w:lvlText w:val="•"/>
      <w:rPr>
        <w:color w:val="3370ff"/>
      </w:rPr>
    </w:lvl>
  </w:abstractNum>
  <w:abstractNum w:abstractNumId="793353">
    <w:lvl>
      <w:numFmt w:val="bullet"/>
      <w:suff w:val="tab"/>
      <w:lvlText w:val="•"/>
      <w:rPr>
        <w:color w:val="3370ff"/>
      </w:rPr>
    </w:lvl>
  </w:abstractNum>
  <w:abstractNum w:abstractNumId="793354">
    <w:lvl>
      <w:numFmt w:val="bullet"/>
      <w:suff w:val="tab"/>
      <w:lvlText w:val="￮"/>
      <w:rPr>
        <w:color w:val="3370ff"/>
      </w:rPr>
    </w:lvl>
  </w:abstractNum>
  <w:abstractNum w:abstractNumId="793355">
    <w:lvl>
      <w:numFmt w:val="bullet"/>
      <w:suff w:val="tab"/>
      <w:lvlText w:val="￮"/>
      <w:rPr>
        <w:color w:val="3370ff"/>
      </w:rPr>
    </w:lvl>
  </w:abstractNum>
  <w:abstractNum w:abstractNumId="793356">
    <w:lvl>
      <w:numFmt w:val="bullet"/>
      <w:suff w:val="tab"/>
      <w:lvlText w:val="•"/>
      <w:rPr>
        <w:color w:val="3370ff"/>
      </w:rPr>
    </w:lvl>
  </w:abstractNum>
  <w:abstractNum w:abstractNumId="793357">
    <w:lvl>
      <w:numFmt w:val="bullet"/>
      <w:suff w:val="tab"/>
      <w:lvlText w:val="￮"/>
      <w:rPr>
        <w:color w:val="3370ff"/>
      </w:rPr>
    </w:lvl>
  </w:abstractNum>
  <w:abstractNum w:abstractNumId="793358">
    <w:lvl>
      <w:numFmt w:val="bullet"/>
      <w:suff w:val="tab"/>
      <w:lvlText w:val="￮"/>
      <w:rPr>
        <w:color w:val="3370ff"/>
      </w:rPr>
    </w:lvl>
  </w:abstractNum>
  <w:abstractNum w:abstractNumId="793359">
    <w:lvl>
      <w:numFmt w:val="bullet"/>
      <w:suff w:val="tab"/>
      <w:lvlText w:val="￮"/>
      <w:rPr>
        <w:color w:val="3370ff"/>
      </w:rPr>
    </w:lvl>
  </w:abstractNum>
  <w:abstractNum w:abstractNumId="793360">
    <w:lvl>
      <w:numFmt w:val="bullet"/>
      <w:suff w:val="tab"/>
      <w:lvlText w:val="•"/>
      <w:rPr>
        <w:color w:val="3370ff"/>
      </w:rPr>
    </w:lvl>
  </w:abstractNum>
  <w:abstractNum w:abstractNumId="793361">
    <w:lvl>
      <w:numFmt w:val="bullet"/>
      <w:suff w:val="tab"/>
      <w:lvlText w:val="•"/>
      <w:rPr>
        <w:color w:val="3370ff"/>
      </w:rPr>
    </w:lvl>
  </w:abstractNum>
  <w:abstractNum w:abstractNumId="793362">
    <w:lvl>
      <w:numFmt w:val="bullet"/>
      <w:suff w:val="tab"/>
      <w:lvlText w:val="•"/>
      <w:rPr>
        <w:color w:val="3370ff"/>
      </w:rPr>
    </w:lvl>
  </w:abstractNum>
  <w:abstractNum w:abstractNumId="793363">
    <w:lvl>
      <w:numFmt w:val="bullet"/>
      <w:suff w:val="tab"/>
      <w:lvlText w:val="•"/>
      <w:rPr>
        <w:color w:val="3370ff"/>
      </w:rPr>
    </w:lvl>
  </w:abstractNum>
  <w:abstractNum w:abstractNumId="793364">
    <w:lvl>
      <w:numFmt w:val="bullet"/>
      <w:suff w:val="tab"/>
      <w:lvlText w:val="￮"/>
      <w:rPr>
        <w:color w:val="3370ff"/>
      </w:rPr>
    </w:lvl>
  </w:abstractNum>
  <w:abstractNum w:abstractNumId="793365">
    <w:lvl>
      <w:numFmt w:val="bullet"/>
      <w:suff w:val="tab"/>
      <w:lvlText w:val="￮"/>
      <w:rPr>
        <w:color w:val="3370ff"/>
      </w:rPr>
    </w:lvl>
  </w:abstractNum>
  <w:abstractNum w:abstractNumId="793366">
    <w:lvl>
      <w:numFmt w:val="bullet"/>
      <w:suff w:val="tab"/>
      <w:lvlText w:val="￮"/>
      <w:rPr>
        <w:color w:val="3370ff"/>
      </w:rPr>
    </w:lvl>
  </w:abstractNum>
  <w:abstractNum w:abstractNumId="793367">
    <w:lvl>
      <w:numFmt w:val="bullet"/>
      <w:suff w:val="tab"/>
      <w:lvlText w:val="▪"/>
      <w:rPr>
        <w:color w:val="3370ff"/>
        <w:sz w:val="11"/>
      </w:rPr>
    </w:lvl>
  </w:abstractNum>
  <w:abstractNum w:abstractNumId="793368">
    <w:lvl>
      <w:numFmt w:val="bullet"/>
      <w:suff w:val="tab"/>
      <w:lvlText w:val="▪"/>
      <w:rPr>
        <w:color w:val="3370ff"/>
        <w:sz w:val="11"/>
      </w:rPr>
    </w:lvl>
  </w:abstractNum>
  <w:abstractNum w:abstractNumId="793369">
    <w:lvl>
      <w:numFmt w:val="bullet"/>
      <w:suff w:val="tab"/>
      <w:lvlText w:val="▪"/>
      <w:rPr>
        <w:color w:val="3370ff"/>
        <w:sz w:val="11"/>
      </w:rPr>
    </w:lvl>
  </w:abstractNum>
  <w:abstractNum w:abstractNumId="793370">
    <w:lvl>
      <w:numFmt w:val="bullet"/>
      <w:suff w:val="tab"/>
      <w:lvlText w:val="▪"/>
      <w:rPr>
        <w:color w:val="3370ff"/>
        <w:sz w:val="11"/>
      </w:rPr>
    </w:lvl>
  </w:abstractNum>
  <w:abstractNum w:abstractNumId="793371">
    <w:lvl>
      <w:numFmt w:val="bullet"/>
      <w:suff w:val="tab"/>
      <w:lvlText w:val="•"/>
      <w:rPr>
        <w:color w:val="3370ff"/>
      </w:rPr>
    </w:lvl>
  </w:abstractNum>
  <w:abstractNum w:abstractNumId="793372">
    <w:lvl>
      <w:numFmt w:val="bullet"/>
      <w:suff w:val="tab"/>
      <w:lvlText w:val="•"/>
      <w:rPr>
        <w:color w:val="3370ff"/>
      </w:rPr>
    </w:lvl>
  </w:abstractNum>
  <w:abstractNum w:abstractNumId="793373">
    <w:lvl>
      <w:numFmt w:val="bullet"/>
      <w:suff w:val="tab"/>
      <w:lvlText w:val="•"/>
      <w:rPr>
        <w:color w:val="3370ff"/>
      </w:rPr>
    </w:lvl>
  </w:abstractNum>
  <w:abstractNum w:abstractNumId="793374">
    <w:lvl>
      <w:numFmt w:val="bullet"/>
      <w:suff w:val="tab"/>
      <w:lvlText w:val="￮"/>
      <w:rPr>
        <w:color w:val="3370ff"/>
      </w:rPr>
    </w:lvl>
  </w:abstractNum>
  <w:abstractNum w:abstractNumId="793375">
    <w:lvl>
      <w:numFmt w:val="bullet"/>
      <w:suff w:val="tab"/>
      <w:lvlText w:val="￮"/>
      <w:rPr>
        <w:color w:val="3370ff"/>
      </w:rPr>
    </w:lvl>
  </w:abstractNum>
  <w:num w:numId="1">
    <w:abstractNumId w:val="793288"/>
  </w:num>
  <w:num w:numId="2">
    <w:abstractNumId w:val="793289"/>
  </w:num>
  <w:num w:numId="3">
    <w:abstractNumId w:val="793290"/>
  </w:num>
  <w:num w:numId="4">
    <w:abstractNumId w:val="793291"/>
  </w:num>
  <w:num w:numId="5">
    <w:abstractNumId w:val="793292"/>
  </w:num>
  <w:num w:numId="6">
    <w:abstractNumId w:val="793293"/>
  </w:num>
  <w:num w:numId="7">
    <w:abstractNumId w:val="793294"/>
  </w:num>
  <w:num w:numId="8">
    <w:abstractNumId w:val="793295"/>
  </w:num>
  <w:num w:numId="9">
    <w:abstractNumId w:val="793296"/>
  </w:num>
  <w:num w:numId="10">
    <w:abstractNumId w:val="793297"/>
  </w:num>
  <w:num w:numId="11">
    <w:abstractNumId w:val="793298"/>
  </w:num>
  <w:num w:numId="12">
    <w:abstractNumId w:val="793299"/>
  </w:num>
  <w:num w:numId="13">
    <w:abstractNumId w:val="793300"/>
  </w:num>
  <w:num w:numId="14">
    <w:abstractNumId w:val="793301"/>
  </w:num>
  <w:num w:numId="15">
    <w:abstractNumId w:val="793302"/>
  </w:num>
  <w:num w:numId="16">
    <w:abstractNumId w:val="793303"/>
  </w:num>
  <w:num w:numId="17">
    <w:abstractNumId w:val="793304"/>
  </w:num>
  <w:num w:numId="18">
    <w:abstractNumId w:val="793305"/>
  </w:num>
  <w:num w:numId="19">
    <w:abstractNumId w:val="793306"/>
  </w:num>
  <w:num w:numId="20">
    <w:abstractNumId w:val="793307"/>
  </w:num>
  <w:num w:numId="21">
    <w:abstractNumId w:val="793308"/>
  </w:num>
  <w:num w:numId="22">
    <w:abstractNumId w:val="793309"/>
  </w:num>
  <w:num w:numId="23">
    <w:abstractNumId w:val="793310"/>
  </w:num>
  <w:num w:numId="24">
    <w:abstractNumId w:val="793311"/>
  </w:num>
  <w:num w:numId="25">
    <w:abstractNumId w:val="793312"/>
  </w:num>
  <w:num w:numId="26">
    <w:abstractNumId w:val="793313"/>
  </w:num>
  <w:num w:numId="27">
    <w:abstractNumId w:val="793314"/>
  </w:num>
  <w:num w:numId="28">
    <w:abstractNumId w:val="793315"/>
  </w:num>
  <w:num w:numId="29">
    <w:abstractNumId w:val="793316"/>
  </w:num>
  <w:num w:numId="30">
    <w:abstractNumId w:val="793317"/>
  </w:num>
  <w:num w:numId="31">
    <w:abstractNumId w:val="793318"/>
  </w:num>
  <w:num w:numId="32">
    <w:abstractNumId w:val="793319"/>
  </w:num>
  <w:num w:numId="33">
    <w:abstractNumId w:val="793320"/>
  </w:num>
  <w:num w:numId="34">
    <w:abstractNumId w:val="793321"/>
  </w:num>
  <w:num w:numId="35">
    <w:abstractNumId w:val="793322"/>
  </w:num>
  <w:num w:numId="36">
    <w:abstractNumId w:val="793323"/>
  </w:num>
  <w:num w:numId="37">
    <w:abstractNumId w:val="793324"/>
  </w:num>
  <w:num w:numId="38">
    <w:abstractNumId w:val="793325"/>
  </w:num>
  <w:num w:numId="39">
    <w:abstractNumId w:val="793326"/>
  </w:num>
  <w:num w:numId="40">
    <w:abstractNumId w:val="793327"/>
  </w:num>
  <w:num w:numId="41">
    <w:abstractNumId w:val="793328"/>
  </w:num>
  <w:num w:numId="42">
    <w:abstractNumId w:val="793329"/>
  </w:num>
  <w:num w:numId="43">
    <w:abstractNumId w:val="793330"/>
  </w:num>
  <w:num w:numId="44">
    <w:abstractNumId w:val="793331"/>
  </w:num>
  <w:num w:numId="45">
    <w:abstractNumId w:val="793332"/>
  </w:num>
  <w:num w:numId="46">
    <w:abstractNumId w:val="793333"/>
  </w:num>
  <w:num w:numId="47">
    <w:abstractNumId w:val="793334"/>
  </w:num>
  <w:num w:numId="48">
    <w:abstractNumId w:val="793335"/>
  </w:num>
  <w:num w:numId="49">
    <w:abstractNumId w:val="793336"/>
  </w:num>
  <w:num w:numId="50">
    <w:abstractNumId w:val="793337"/>
  </w:num>
  <w:num w:numId="51">
    <w:abstractNumId w:val="793338"/>
  </w:num>
  <w:num w:numId="52">
    <w:abstractNumId w:val="793339"/>
  </w:num>
  <w:num w:numId="53">
    <w:abstractNumId w:val="793340"/>
  </w:num>
  <w:num w:numId="54">
    <w:abstractNumId w:val="793341"/>
  </w:num>
  <w:num w:numId="55">
    <w:abstractNumId w:val="793342"/>
  </w:num>
  <w:num w:numId="56">
    <w:abstractNumId w:val="793343"/>
  </w:num>
  <w:num w:numId="57">
    <w:abstractNumId w:val="793344"/>
  </w:num>
  <w:num w:numId="58">
    <w:abstractNumId w:val="793345"/>
  </w:num>
  <w:num w:numId="59">
    <w:abstractNumId w:val="793346"/>
  </w:num>
  <w:num w:numId="60">
    <w:abstractNumId w:val="793347"/>
  </w:num>
  <w:num w:numId="61">
    <w:abstractNumId w:val="793348"/>
  </w:num>
  <w:num w:numId="62">
    <w:abstractNumId w:val="793349"/>
  </w:num>
  <w:num w:numId="63">
    <w:abstractNumId w:val="793350"/>
  </w:num>
  <w:num w:numId="64">
    <w:abstractNumId w:val="793351"/>
  </w:num>
  <w:num w:numId="65">
    <w:abstractNumId w:val="793352"/>
  </w:num>
  <w:num w:numId="66">
    <w:abstractNumId w:val="793353"/>
  </w:num>
  <w:num w:numId="67">
    <w:abstractNumId w:val="793354"/>
  </w:num>
  <w:num w:numId="68">
    <w:abstractNumId w:val="793355"/>
  </w:num>
  <w:num w:numId="69">
    <w:abstractNumId w:val="793356"/>
  </w:num>
  <w:num w:numId="70">
    <w:abstractNumId w:val="793357"/>
  </w:num>
  <w:num w:numId="71">
    <w:abstractNumId w:val="793358"/>
  </w:num>
  <w:num w:numId="72">
    <w:abstractNumId w:val="793359"/>
  </w:num>
  <w:num w:numId="73">
    <w:abstractNumId w:val="793360"/>
  </w:num>
  <w:num w:numId="74">
    <w:abstractNumId w:val="793361"/>
  </w:num>
  <w:num w:numId="75">
    <w:abstractNumId w:val="793362"/>
  </w:num>
  <w:num w:numId="76">
    <w:abstractNumId w:val="793363"/>
  </w:num>
  <w:num w:numId="77">
    <w:abstractNumId w:val="793364"/>
  </w:num>
  <w:num w:numId="78">
    <w:abstractNumId w:val="793365"/>
  </w:num>
  <w:num w:numId="79">
    <w:abstractNumId w:val="793366"/>
  </w:num>
  <w:num w:numId="80">
    <w:abstractNumId w:val="793367"/>
  </w:num>
  <w:num w:numId="81">
    <w:abstractNumId w:val="793368"/>
  </w:num>
  <w:num w:numId="82">
    <w:abstractNumId w:val="793369"/>
  </w:num>
  <w:num w:numId="83">
    <w:abstractNumId w:val="793370"/>
  </w:num>
  <w:num w:numId="84">
    <w:abstractNumId w:val="793371"/>
  </w:num>
  <w:num w:numId="85">
    <w:abstractNumId w:val="793372"/>
  </w:num>
  <w:num w:numId="86">
    <w:abstractNumId w:val="793373"/>
  </w:num>
  <w:num w:numId="87">
    <w:abstractNumId w:val="793374"/>
  </w:num>
  <w:num w:numId="88">
    <w:abstractNumId w:val="7933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mp.weixin.qq.com/s?__biz=MzI3OTgwMzg2NQ==&amp;mid=2247484182&amp;idx=1&amp;sn=fea09755d72c6123296a2cd7364b6a80&amp;chksm=ea99a4396313e213b5611c71eba46f167da60648cf6788f1c44fc09e85e4d19d015d1f783b07&amp;mpshare=1&amp;scene=23&amp;srcid=0306cm8OpLQBNfkPGy3YUkVU&amp;sharer_shareinfo=b1107e8de3d8fd260e96e24292b6f3d6&amp;sharer_shareinfo_first=b1107e8de3d8fd260e96e24292b6f3d6#rd" TargetMode="External" Type="http://schemas.openxmlformats.org/officeDocument/2006/relationships/hyperlink"/><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pace.bilibili.com/483514946" TargetMode="External" Type="http://schemas.openxmlformats.org/officeDocument/2006/relationships/hyperlink"/><Relationship Id="rId6" Target="https://www.hinghwa.cn/" TargetMode="External" Type="http://schemas.openxmlformats.org/officeDocument/2006/relationships/hyperlink"/><Relationship Id="rId7" Target="https://github.com/e-dialect/hinghwa-ime" TargetMode="External" Type="http://schemas.openxmlformats.org/officeDocument/2006/relationships/hyperlink"/><Relationship Id="rId8" Target="https://xinghuayuji.feishu.cn/wiki/NKqewCCaxi5aDIkoz8PcBVl0nqb" TargetMode="External" Type="http://schemas.openxmlformats.org/officeDocument/2006/relationships/hyperlink"/><Relationship Id="rId9" Target="https://www.bilibili.com/video/BV1RJ411q7yW/"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2026-04-07T13:50:15Z</dcterms:created>
  <dc:creator>Apache POI</dc:creator>
</cp:coreProperties>
</file>