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7357D" w14:textId="77777777" w:rsidR="005A57D5" w:rsidRDefault="005A57D5">
      <w:pPr>
        <w:pStyle w:val="Body"/>
      </w:pPr>
    </w:p>
    <w:p w14:paraId="23ABE4A3" w14:textId="3B2FF9D8" w:rsidR="005A57D5" w:rsidRDefault="00CE35BF">
      <w:pPr>
        <w:pStyle w:val="Body"/>
      </w:pPr>
      <w:r>
        <w:tab/>
      </w:r>
      <w:r>
        <w:t>The anomaly being researched is the tendency for stock returns to be negative on a Monday. This present a potential opportunity for investors who could short the opening price on Monday and close off the position the same day by buying back the position at</w:t>
      </w:r>
      <w:r>
        <w:t xml:space="preserve"> the closing price. Thirty stocks were analyzed to determine which ones followed this anomaly for the period February</w:t>
      </w:r>
      <w:r>
        <w:t xml:space="preserve"> 07, 2000 to December 31 of this past year. </w:t>
      </w:r>
    </w:p>
    <w:p w14:paraId="146F0E18" w14:textId="77777777" w:rsidR="005A57D5" w:rsidRDefault="005A57D5">
      <w:pPr>
        <w:pStyle w:val="Body"/>
      </w:pPr>
    </w:p>
    <w:p w14:paraId="037C7023" w14:textId="10168B5B" w:rsidR="005A57D5" w:rsidRDefault="00CE35BF">
      <w:pPr>
        <w:pStyle w:val="Body"/>
      </w:pPr>
      <w:r>
        <w:tab/>
        <w:t xml:space="preserve">To determine which </w:t>
      </w:r>
      <w:r w:rsidR="002F664F">
        <w:t>stocks,</w:t>
      </w:r>
      <w:r>
        <w:t xml:space="preserve"> follow the anomaly a regression analysis was utilized with the nu</w:t>
      </w:r>
      <w:r>
        <w:t>ll hypothesis stating returns are equivalent to zero. The results produced in Table 1 show five stocks whose p-values were less than 0.05 so we can reject the null hypothesis for these stocks. The stock’s returns are significantly different from zero meani</w:t>
      </w:r>
      <w:r>
        <w:t>ng there exists an anomaly. When testing the shorting strategy four of the stocks (AAPL, PG, PEP, IBM) have negative daily returns meaning the strategy’s returns are significantly different from 0 by being negative instead of positive. These four stocks fo</w:t>
      </w:r>
      <w:r>
        <w:t>llow the opposite anomaly, being positive on a Monday. C is the only stock that follows the anomaly on a Monday where shorting the stocks opening price and closing the position end of day would be recommended.</w:t>
      </w:r>
    </w:p>
    <w:p w14:paraId="57E691C8" w14:textId="77777777" w:rsidR="005A57D5" w:rsidRDefault="005A57D5">
      <w:pPr>
        <w:pStyle w:val="Body"/>
      </w:pPr>
    </w:p>
    <w:p w14:paraId="43737FCC" w14:textId="4F2CEB93" w:rsidR="005A57D5" w:rsidRDefault="00CE35BF">
      <w:pPr>
        <w:pStyle w:val="Body"/>
      </w:pPr>
      <w:r>
        <w:tab/>
        <w:t>In table 2 there are a similar number of sto</w:t>
      </w:r>
      <w:r>
        <w:t xml:space="preserve">cks deemed significant in comparison to the full sample in Table 1, but there are different stocks listed. The average return for these stocks </w:t>
      </w:r>
      <w:r w:rsidR="002F664F">
        <w:t>is</w:t>
      </w:r>
      <w:r>
        <w:t xml:space="preserve"> negative so it is deemed that they don’t follow the anomaly on </w:t>
      </w:r>
      <w:r w:rsidR="002F664F">
        <w:t>Monday,</w:t>
      </w:r>
      <w:r>
        <w:t xml:space="preserve"> and it would be better the go long inst</w:t>
      </w:r>
      <w:r>
        <w:t xml:space="preserve">ead on short for Monday. When looking at the second sample, after the ’08 stock market crash occurred, it shows three different stocks whom all follow the Monday anomaly; comparatively only C followed the anomaly for the full sample. Based upon the Sharpe </w:t>
      </w:r>
      <w:r>
        <w:t>ratio it would appear that AAPL in more recent years has outperformed on a risk basis vs the overall sample and could have been a core holding in any balanced holding, similar can be said for IBM.</w:t>
      </w:r>
    </w:p>
    <w:p w14:paraId="40FA7C4B" w14:textId="77777777" w:rsidR="005A57D5" w:rsidRDefault="005A57D5">
      <w:pPr>
        <w:pStyle w:val="Body"/>
      </w:pPr>
    </w:p>
    <w:p w14:paraId="647F1226" w14:textId="4B338FFB" w:rsidR="005A57D5" w:rsidRDefault="00CE35BF">
      <w:pPr>
        <w:pStyle w:val="Body"/>
      </w:pPr>
      <w:r>
        <w:tab/>
        <w:t>The rest of the work week Tuesday through Friday were als</w:t>
      </w:r>
      <w:r>
        <w:t xml:space="preserve">o analyzed to </w:t>
      </w:r>
      <w:r w:rsidR="002F664F">
        <w:t>determine</w:t>
      </w:r>
      <w:r>
        <w:t xml:space="preserve"> if any anomalies existed in these days. Table 4 shows stocks that have returns significantly different from zero and so there exists an anomaly. The cells that are red shows that stocks tend to be negative on that day and comparati</w:t>
      </w:r>
      <w:r>
        <w:t xml:space="preserve">vely the green demonstrates that the stocks tend to be positive on that day. The red stocks’ best strategy would be shorting while the green stocks </w:t>
      </w:r>
      <w:r>
        <w:tab/>
        <w:t>would be going long.</w:t>
      </w:r>
    </w:p>
    <w:p w14:paraId="79E831E3" w14:textId="77777777" w:rsidR="005A57D5" w:rsidRDefault="005A57D5">
      <w:pPr>
        <w:pStyle w:val="Body"/>
      </w:pPr>
    </w:p>
    <w:p w14:paraId="5BCEDBDB" w14:textId="77777777" w:rsidR="005A57D5" w:rsidRDefault="00CE35BF">
      <w:pPr>
        <w:pStyle w:val="Body"/>
      </w:pPr>
      <w:r>
        <w:tab/>
        <w:t>Two different approaches to control for false discoveries are the Bonferroni correct</w:t>
      </w:r>
      <w:r>
        <w:t>ion and the FDR. In this notebook a confidence value of 5% was used and 30 stocks were examined so to correct for false discovery a confidence level of (5%/30) = 0.167% would be used.(this would make a lot of them no significant) The change in confidence l</w:t>
      </w:r>
      <w:r>
        <w:t>evel would adjust for false discoveries, but since a lot of the p-values are greater than 0.167% so it wouldn’t be recommended to use this confidence value. In the other strategy a false discovery rate of 10% is used and the stocks are ranked from lowest t</w:t>
      </w:r>
      <w:r>
        <w:t>o highest based on their p-value. Those stocks whose p-value &lt; 0.10*(</w:t>
      </w:r>
      <w:proofErr w:type="spellStart"/>
      <w:r>
        <w:t>i</w:t>
      </w:r>
      <w:proofErr w:type="spellEnd"/>
      <w:r>
        <w:t xml:space="preserve">/30) would be considered significant; </w:t>
      </w:r>
      <w:proofErr w:type="spellStart"/>
      <w:r>
        <w:t>i</w:t>
      </w:r>
      <w:proofErr w:type="spellEnd"/>
      <w:r>
        <w:t xml:space="preserve"> is the rank of the stock. Note that if the FDR of 5% was used it would again produce that there are no significant values.</w:t>
      </w:r>
    </w:p>
    <w:p w14:paraId="6F49E5CA" w14:textId="77777777" w:rsidR="000A1015" w:rsidRDefault="000A1015">
      <w:pPr>
        <w:pStyle w:val="Body"/>
      </w:pPr>
    </w:p>
    <w:p w14:paraId="2F1B36A8" w14:textId="77777777" w:rsidR="000A1015" w:rsidRDefault="000A1015">
      <w:pPr>
        <w:pStyle w:val="Body"/>
      </w:pPr>
    </w:p>
    <w:p w14:paraId="43F2647D" w14:textId="14277A49" w:rsidR="000A1015" w:rsidRDefault="000A1015">
      <w:pPr>
        <w:pStyle w:val="Body"/>
      </w:pPr>
    </w:p>
    <w:p w14:paraId="498AFDCA" w14:textId="77777777" w:rsidR="002F664F" w:rsidRDefault="002F664F">
      <w:pPr>
        <w:pStyle w:val="Body"/>
      </w:pPr>
    </w:p>
    <w:p w14:paraId="29D54D48" w14:textId="2B42FD0B" w:rsidR="005A57D5" w:rsidRDefault="00CE35BF">
      <w:pPr>
        <w:pStyle w:val="Body"/>
      </w:pPr>
      <w:r>
        <w:lastRenderedPageBreak/>
        <w:t>Table 1: Significant st</w:t>
      </w:r>
      <w:r>
        <w:t>ocks for Monday</w:t>
      </w:r>
    </w:p>
    <w:p w14:paraId="77028C22" w14:textId="77777777" w:rsidR="005A57D5" w:rsidRDefault="005A57D5">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2"/>
        <w:gridCol w:w="1871"/>
        <w:gridCol w:w="1871"/>
        <w:gridCol w:w="1870"/>
        <w:gridCol w:w="1871"/>
      </w:tblGrid>
      <w:tr w:rsidR="005A57D5" w14:paraId="088281EB"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C6F168"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802C3" w14:textId="77777777" w:rsidR="005A57D5" w:rsidRDefault="00CE35BF">
            <w:pPr>
              <w:pStyle w:val="TableStyle2"/>
            </w:pPr>
            <w:r>
              <w:rPr>
                <w:rFonts w:ascii="Times New Roman" w:hAnsi="Times New Roman"/>
                <w:sz w:val="26"/>
                <w:szCs w:val="26"/>
              </w:rPr>
              <w:t>Average Return</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EE6D5" w14:textId="77777777" w:rsidR="005A57D5" w:rsidRDefault="00CE35BF">
            <w:pPr>
              <w:pStyle w:val="TableStyle2"/>
            </w:pPr>
            <w:r>
              <w:rPr>
                <w:rFonts w:ascii="Times New Roman" w:hAnsi="Times New Roman"/>
                <w:sz w:val="26"/>
                <w:szCs w:val="26"/>
              </w:rPr>
              <w:t>Volatility</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EA33BF" w14:textId="77777777" w:rsidR="005A57D5" w:rsidRDefault="00CE35BF">
            <w:pPr>
              <w:pStyle w:val="TableStyle2"/>
            </w:pPr>
            <w:proofErr w:type="spellStart"/>
            <w:r>
              <w:rPr>
                <w:rFonts w:ascii="Times New Roman" w:hAnsi="Times New Roman"/>
                <w:sz w:val="26"/>
                <w:szCs w:val="26"/>
              </w:rPr>
              <w:t>AnnualiSharpe</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D01355" w14:textId="77777777" w:rsidR="005A57D5" w:rsidRDefault="00CE35BF">
            <w:pPr>
              <w:pStyle w:val="TableStyle2"/>
            </w:pPr>
            <w:proofErr w:type="spellStart"/>
            <w:r>
              <w:rPr>
                <w:rFonts w:ascii="Times New Roman" w:hAnsi="Times New Roman"/>
                <w:sz w:val="26"/>
                <w:szCs w:val="26"/>
              </w:rPr>
              <w:t>Pvalue</w:t>
            </w:r>
            <w:proofErr w:type="spellEnd"/>
          </w:p>
        </w:tc>
      </w:tr>
      <w:tr w:rsidR="005A57D5" w14:paraId="63D8D7DD"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BEC647" w14:textId="77777777" w:rsidR="005A57D5" w:rsidRDefault="00CE35BF">
            <w:pPr>
              <w:pStyle w:val="TableStyle2"/>
            </w:pPr>
            <w:r>
              <w:rPr>
                <w:rFonts w:ascii="Times New Roman" w:hAnsi="Times New Roman"/>
                <w:sz w:val="26"/>
                <w:szCs w:val="26"/>
              </w:rPr>
              <w:t>AAPL</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C94438"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-0.001832</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AFB8C" w14:textId="77777777" w:rsidR="005A57D5" w:rsidRDefault="00CE35BF">
            <w:pPr>
              <w:jc w:val="right"/>
            </w:pPr>
            <w:r>
              <w:rPr>
                <w:rFonts w:cs="Arial Unicode MS"/>
                <w:color w:val="000000"/>
                <w:sz w:val="26"/>
                <w:szCs w:val="26"/>
                <w14:textOutline w14:w="0" w14:cap="flat" w14:cmpd="sng" w14:algn="ctr">
                  <w14:noFill/>
                  <w14:prstDash w14:val="solid"/>
                  <w14:bevel/>
                </w14:textOutline>
              </w:rPr>
              <w:t>0.021621</w:t>
            </w:r>
          </w:p>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A11694" w14:textId="77777777" w:rsidR="005A57D5" w:rsidRDefault="00CE35BF">
            <w:pPr>
              <w:jc w:val="right"/>
            </w:pPr>
            <w:r>
              <w:rPr>
                <w:rFonts w:cs="Arial Unicode MS"/>
                <w:color w:val="000000"/>
                <w:sz w:val="26"/>
                <w:szCs w:val="26"/>
                <w14:textOutline w14:w="0" w14:cap="flat" w14:cmpd="sng" w14:algn="ctr">
                  <w14:noFill/>
                  <w14:prstDash w14:val="solid"/>
                  <w14:bevel/>
                </w14:textOutline>
              </w:rPr>
              <w:t>-1.339450</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C1B1D"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0.009467</w:t>
            </w:r>
          </w:p>
        </w:tc>
      </w:tr>
      <w:tr w:rsidR="005A57D5" w14:paraId="191A550E"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DE1932" w14:textId="77777777" w:rsidR="005A57D5" w:rsidRDefault="00CE35BF">
            <w:pPr>
              <w:pStyle w:val="TableStyle2"/>
            </w:pPr>
            <w:r>
              <w:rPr>
                <w:rFonts w:ascii="Times New Roman" w:hAnsi="Times New Roman"/>
                <w:sz w:val="26"/>
                <w:szCs w:val="26"/>
              </w:rPr>
              <w:t>PG</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7959D3"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-0.000873</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7B224"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0.010349</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9FBA5" w14:textId="77777777" w:rsidR="005A57D5" w:rsidRDefault="00CE35BF">
            <w:pPr>
              <w:jc w:val="right"/>
            </w:pPr>
            <w:r>
              <w:rPr>
                <w:rFonts w:cs="Arial Unicode MS"/>
                <w:color w:val="000000"/>
                <w:sz w:val="26"/>
                <w:szCs w:val="26"/>
                <w14:textOutline w14:w="0" w14:cap="flat" w14:cmpd="sng" w14:algn="ctr">
                  <w14:noFill/>
                  <w14:prstDash w14:val="solid"/>
                  <w14:bevel/>
                </w14:textOutline>
              </w:rPr>
              <w:t>-1.334353</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37F0B6"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0.009742</w:t>
            </w:r>
          </w:p>
        </w:tc>
      </w:tr>
      <w:tr w:rsidR="005A57D5" w14:paraId="7827F1AC"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3DB2E2" w14:textId="77777777" w:rsidR="005A57D5" w:rsidRDefault="00CE35BF">
            <w:pPr>
              <w:pStyle w:val="TableStyle2"/>
            </w:pPr>
            <w:r>
              <w:rPr>
                <w:rFonts w:ascii="Times New Roman" w:hAnsi="Times New Roman"/>
                <w:sz w:val="26"/>
                <w:szCs w:val="26"/>
              </w:rPr>
              <w:t>PEP</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0455CE"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-0.000821</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5C812D"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0.010092</w:t>
            </w:r>
          </w:p>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D45DCF" w14:textId="77777777" w:rsidR="005A57D5" w:rsidRDefault="00CE35BF">
            <w:pPr>
              <w:jc w:val="right"/>
            </w:pPr>
            <w:r>
              <w:rPr>
                <w:rFonts w:cs="Arial Unicode MS"/>
                <w:color w:val="000000"/>
                <w:sz w:val="26"/>
                <w:szCs w:val="26"/>
                <w14:textOutline w14:w="0" w14:cap="flat" w14:cmpd="sng" w14:algn="ctr">
                  <w14:noFill/>
                  <w14:prstDash w14:val="solid"/>
                  <w14:bevel/>
                </w14:textOutline>
              </w:rPr>
              <w:t>-1.286227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1FAC76"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0.012704</w:t>
            </w:r>
          </w:p>
        </w:tc>
      </w:tr>
      <w:tr w:rsidR="005A57D5" w14:paraId="7B00E6B0"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F4647" w14:textId="77777777" w:rsidR="005A57D5" w:rsidRDefault="00CE35BF">
            <w:pPr>
              <w:pStyle w:val="TableStyle2"/>
            </w:pPr>
            <w:r>
              <w:rPr>
                <w:rFonts w:ascii="Times New Roman" w:hAnsi="Times New Roman"/>
                <w:sz w:val="26"/>
                <w:szCs w:val="26"/>
              </w:rPr>
              <w:t>C</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E7CFC2"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0.001567</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A27A3" w14:textId="77777777" w:rsidR="005A57D5" w:rsidRDefault="00CE35BF">
            <w:pPr>
              <w:jc w:val="right"/>
            </w:pPr>
            <w:r>
              <w:rPr>
                <w:rFonts w:cs="Arial Unicode MS"/>
                <w:color w:val="000000"/>
                <w:sz w:val="26"/>
                <w:szCs w:val="26"/>
                <w14:textOutline w14:w="0" w14:cap="flat" w14:cmpd="sng" w14:algn="ctr">
                  <w14:noFill/>
                  <w14:prstDash w14:val="solid"/>
                  <w14:bevel/>
                </w14:textOutline>
              </w:rPr>
              <w:t>0.023917</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6F49BF" w14:textId="77777777" w:rsidR="005A57D5" w:rsidRDefault="00CE35BF">
            <w:pPr>
              <w:jc w:val="right"/>
            </w:pPr>
            <w:r>
              <w:rPr>
                <w:rFonts w:cs="Arial Unicode MS"/>
                <w:color w:val="000000"/>
                <w:sz w:val="26"/>
                <w:szCs w:val="26"/>
                <w14:textOutline w14:w="0" w14:cap="flat" w14:cmpd="sng" w14:algn="ctr">
                  <w14:noFill/>
                  <w14:prstDash w14:val="solid"/>
                  <w14:bevel/>
                </w14:textOutline>
              </w:rPr>
              <w:t>1.036057</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6CDA56" w14:textId="77777777" w:rsidR="005A57D5" w:rsidRDefault="00CE35BF">
            <w:pPr>
              <w:jc w:val="right"/>
            </w:pPr>
            <w:r>
              <w:rPr>
                <w:rFonts w:cs="Arial Unicode MS"/>
                <w:color w:val="000000"/>
                <w:sz w:val="26"/>
                <w:szCs w:val="26"/>
                <w14:textOutline w14:w="0" w14:cap="flat" w14:cmpd="sng" w14:algn="ctr">
                  <w14:noFill/>
                  <w14:prstDash w14:val="solid"/>
                  <w14:bevel/>
                </w14:textOutline>
              </w:rPr>
              <w:t>0.044597</w:t>
            </w:r>
          </w:p>
        </w:tc>
      </w:tr>
      <w:tr w:rsidR="005A57D5" w14:paraId="1A8E5EF1"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ED8C8" w14:textId="77777777" w:rsidR="005A57D5" w:rsidRDefault="00CE35BF">
            <w:pPr>
              <w:pStyle w:val="TableStyle2"/>
            </w:pPr>
            <w:r>
              <w:rPr>
                <w:rFonts w:ascii="Times New Roman" w:hAnsi="Times New Roman"/>
                <w:sz w:val="26"/>
                <w:szCs w:val="26"/>
              </w:rPr>
              <w:t>IBM</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EF71C2"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-0.001231</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EBF81F"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0.012852</w:t>
            </w:r>
          </w:p>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A6C2B" w14:textId="77777777" w:rsidR="005A57D5" w:rsidRDefault="00CE35BF">
            <w:pPr>
              <w:jc w:val="right"/>
            </w:pPr>
            <w:r>
              <w:rPr>
                <w:rFonts w:cs="Arial Unicode MS"/>
                <w:color w:val="000000"/>
                <w:sz w:val="26"/>
                <w:szCs w:val="26"/>
                <w14:textOutline w14:w="0" w14:cap="flat" w14:cmpd="sng" w14:algn="ctr">
                  <w14:noFill/>
                  <w14:prstDash w14:val="solid"/>
                  <w14:bevel/>
                </w14:textOutline>
              </w:rPr>
              <w:t>-1.514878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347C39"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0.003356</w:t>
            </w:r>
          </w:p>
        </w:tc>
      </w:tr>
    </w:tbl>
    <w:p w14:paraId="62DCFAEC" w14:textId="77777777" w:rsidR="005A57D5" w:rsidRDefault="005A57D5">
      <w:pPr>
        <w:pStyle w:val="Body"/>
      </w:pPr>
    </w:p>
    <w:p w14:paraId="5293127D" w14:textId="77777777" w:rsidR="005A57D5" w:rsidRDefault="005A57D5">
      <w:pPr>
        <w:pStyle w:val="Body"/>
      </w:pPr>
    </w:p>
    <w:p w14:paraId="6F392EAF" w14:textId="77777777" w:rsidR="005A57D5" w:rsidRDefault="005A57D5">
      <w:pPr>
        <w:pStyle w:val="Body"/>
      </w:pPr>
    </w:p>
    <w:p w14:paraId="7FC0D147" w14:textId="77777777" w:rsidR="005A57D5" w:rsidRDefault="005A57D5">
      <w:pPr>
        <w:pStyle w:val="Body"/>
      </w:pPr>
    </w:p>
    <w:p w14:paraId="23298B9A" w14:textId="77777777" w:rsidR="005A57D5" w:rsidRDefault="00CE35BF">
      <w:pPr>
        <w:pStyle w:val="Body"/>
      </w:pPr>
      <w:r>
        <w:t>Table 2: Sample 1 for Mondays in February 7, 2000 to December 31, 2007</w:t>
      </w:r>
    </w:p>
    <w:p w14:paraId="0BDD61B3" w14:textId="77777777" w:rsidR="005A57D5" w:rsidRDefault="005A57D5">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2"/>
        <w:gridCol w:w="1871"/>
        <w:gridCol w:w="1871"/>
        <w:gridCol w:w="1870"/>
        <w:gridCol w:w="1871"/>
      </w:tblGrid>
      <w:tr w:rsidR="005A57D5" w14:paraId="4543E104"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9BFD5"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123DE" w14:textId="77777777" w:rsidR="005A57D5" w:rsidRDefault="00CE35BF">
            <w:pPr>
              <w:pStyle w:val="TableStyle2"/>
            </w:pPr>
            <w:r>
              <w:rPr>
                <w:rFonts w:ascii="Times New Roman" w:hAnsi="Times New Roman"/>
                <w:sz w:val="26"/>
                <w:szCs w:val="26"/>
              </w:rPr>
              <w:t>Average Return</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0A0584" w14:textId="77777777" w:rsidR="005A57D5" w:rsidRDefault="00CE35BF">
            <w:pPr>
              <w:pStyle w:val="TableStyle2"/>
            </w:pPr>
            <w:r>
              <w:rPr>
                <w:rFonts w:ascii="Times New Roman" w:hAnsi="Times New Roman"/>
                <w:sz w:val="26"/>
                <w:szCs w:val="26"/>
              </w:rPr>
              <w:t>Volatility</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27B2F" w14:textId="77777777" w:rsidR="005A57D5" w:rsidRDefault="00CE35BF">
            <w:pPr>
              <w:pStyle w:val="TableStyle2"/>
            </w:pPr>
            <w:r>
              <w:rPr>
                <w:rFonts w:ascii="Times New Roman" w:hAnsi="Times New Roman"/>
                <w:sz w:val="26"/>
                <w:szCs w:val="26"/>
              </w:rPr>
              <w:t>Sharpe</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BC98F0" w14:textId="77777777" w:rsidR="005A57D5" w:rsidRDefault="00CE35BF">
            <w:pPr>
              <w:pStyle w:val="TableStyle2"/>
            </w:pPr>
            <w:proofErr w:type="spellStart"/>
            <w:r>
              <w:rPr>
                <w:rFonts w:ascii="Times New Roman" w:hAnsi="Times New Roman"/>
                <w:sz w:val="26"/>
                <w:szCs w:val="26"/>
              </w:rPr>
              <w:t>Pvalue</w:t>
            </w:r>
            <w:proofErr w:type="spellEnd"/>
          </w:p>
        </w:tc>
      </w:tr>
      <w:tr w:rsidR="005A57D5" w14:paraId="3E27C773"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1C2846" w14:textId="77777777" w:rsidR="005A57D5" w:rsidRDefault="00CE35BF">
            <w:pPr>
              <w:pStyle w:val="TableStyle2"/>
            </w:pPr>
            <w:r>
              <w:rPr>
                <w:rFonts w:ascii="Times New Roman" w:hAnsi="Times New Roman"/>
                <w:sz w:val="26"/>
                <w:szCs w:val="26"/>
              </w:rPr>
              <w:t>BAC</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41ECC1"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-0.001741</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249476"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0.013435</w:t>
            </w:r>
          </w:p>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603F5F" w14:textId="77777777" w:rsidR="005A57D5" w:rsidRDefault="00CE35BF">
            <w:pPr>
              <w:jc w:val="right"/>
            </w:pPr>
            <w:r>
              <w:rPr>
                <w:rFonts w:cs="Arial Unicode MS"/>
                <w:color w:val="000000"/>
                <w:sz w:val="26"/>
                <w:szCs w:val="26"/>
                <w14:textOutline w14:w="0" w14:cap="flat" w14:cmpd="sng" w14:algn="ctr">
                  <w14:noFill/>
                  <w14:prstDash w14:val="solid"/>
                  <w14:bevel/>
                </w14:textOutline>
              </w:rPr>
              <w:t>-2.049330</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6BE472"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0.012616</w:t>
            </w:r>
          </w:p>
        </w:tc>
      </w:tr>
      <w:tr w:rsidR="005A57D5" w14:paraId="35A8F265"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1B5F0C" w14:textId="77777777" w:rsidR="005A57D5" w:rsidRDefault="00CE35BF">
            <w:pPr>
              <w:pStyle w:val="TableStyle2"/>
            </w:pPr>
            <w:r>
              <w:rPr>
                <w:rFonts w:ascii="Times New Roman" w:hAnsi="Times New Roman"/>
                <w:sz w:val="26"/>
                <w:szCs w:val="26"/>
              </w:rPr>
              <w:t>PG</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A01CA"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-0.001541</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35F39"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0.012043</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8FA6D" w14:textId="77777777" w:rsidR="005A57D5" w:rsidRDefault="00CE35BF">
            <w:pPr>
              <w:jc w:val="right"/>
            </w:pPr>
            <w:r>
              <w:rPr>
                <w:rFonts w:cs="Arial Unicode MS"/>
                <w:color w:val="000000"/>
                <w:sz w:val="26"/>
                <w:szCs w:val="26"/>
                <w14:textOutline w14:w="0" w14:cap="flat" w14:cmpd="sng" w14:algn="ctr">
                  <w14:noFill/>
                  <w14:prstDash w14:val="solid"/>
                  <w14:bevel/>
                </w14:textOutline>
              </w:rPr>
              <w:t>-2.022538</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C16F1"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0.013813</w:t>
            </w:r>
          </w:p>
        </w:tc>
      </w:tr>
      <w:tr w:rsidR="005A57D5" w14:paraId="25DCB122"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67D42D" w14:textId="77777777" w:rsidR="005A57D5" w:rsidRDefault="00CE35BF">
            <w:pPr>
              <w:pStyle w:val="TableStyle2"/>
            </w:pPr>
            <w:r>
              <w:rPr>
                <w:rFonts w:ascii="Times New Roman" w:hAnsi="Times New Roman"/>
                <w:sz w:val="26"/>
                <w:szCs w:val="26"/>
              </w:rPr>
              <w:t>MRK</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380C4"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-0.001587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AF9E71"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0.013968</w:t>
            </w:r>
          </w:p>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5E3A95" w14:textId="77777777" w:rsidR="005A57D5" w:rsidRDefault="00CE35BF">
            <w:pPr>
              <w:jc w:val="right"/>
            </w:pPr>
            <w:r>
              <w:rPr>
                <w:rFonts w:cs="Arial Unicode MS"/>
                <w:color w:val="000000"/>
                <w:sz w:val="26"/>
                <w:szCs w:val="26"/>
                <w14:textOutline w14:w="0" w14:cap="flat" w14:cmpd="sng" w14:algn="ctr">
                  <w14:noFill/>
                  <w14:prstDash w14:val="solid"/>
                  <w14:bevel/>
                </w14:textOutline>
              </w:rPr>
              <w:t>-1.796201</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FA3553" w14:textId="77777777" w:rsidR="005A57D5" w:rsidRDefault="00CE35BF">
            <w:pPr>
              <w:jc w:val="right"/>
            </w:pPr>
            <w:r>
              <w:rPr>
                <w:rFonts w:cs="Arial Unicode MS"/>
                <w:color w:val="000000"/>
                <w:sz w:val="26"/>
                <w:szCs w:val="26"/>
                <w14:textOutline w14:w="0" w14:cap="flat" w14:cmpd="sng" w14:algn="ctr">
                  <w14:noFill/>
                  <w14:prstDash w14:val="solid"/>
                  <w14:bevel/>
                </w14:textOutline>
              </w:rPr>
              <w:t>0.028638</w:t>
            </w:r>
          </w:p>
        </w:tc>
      </w:tr>
      <w:tr w:rsidR="005A57D5" w14:paraId="658309AB"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84221F" w14:textId="77777777" w:rsidR="005A57D5" w:rsidRDefault="00CE35BF">
            <w:pPr>
              <w:pStyle w:val="TableStyle2"/>
            </w:pPr>
            <w:r>
              <w:rPr>
                <w:rFonts w:ascii="Times New Roman" w:hAnsi="Times New Roman"/>
                <w:sz w:val="26"/>
                <w:szCs w:val="26"/>
              </w:rPr>
              <w:t>PEP</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DBEA7"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-0.001853</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7D9C4"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0.011639</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DA30E3" w14:textId="77777777" w:rsidR="005A57D5" w:rsidRDefault="00CE35BF">
            <w:pPr>
              <w:jc w:val="right"/>
            </w:pPr>
            <w:r>
              <w:rPr>
                <w:rFonts w:cs="Arial Unicode MS"/>
                <w:color w:val="000000"/>
                <w:sz w:val="26"/>
                <w:szCs w:val="26"/>
                <w14:textOutline w14:w="0" w14:cap="flat" w14:cmpd="sng" w14:algn="ctr">
                  <w14:noFill/>
                  <w14:prstDash w14:val="solid"/>
                  <w14:bevel/>
                </w14:textOutline>
              </w:rPr>
              <w:t>-2.516883</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923188"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0.002235</w:t>
            </w:r>
          </w:p>
        </w:tc>
      </w:tr>
      <w:tr w:rsidR="005A57D5" w14:paraId="2B974956"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16C819" w14:textId="77777777" w:rsidR="005A57D5" w:rsidRDefault="00CE35BF">
            <w:pPr>
              <w:pStyle w:val="TableStyle2"/>
            </w:pPr>
            <w:r>
              <w:rPr>
                <w:rFonts w:ascii="Times New Roman" w:hAnsi="Times New Roman"/>
                <w:sz w:val="26"/>
                <w:szCs w:val="26"/>
              </w:rPr>
              <w:t>MCD</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076543"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-0.002142</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490AF"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0.015648</w:t>
            </w:r>
          </w:p>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EF5F24" w14:textId="77777777" w:rsidR="005A57D5" w:rsidRDefault="00CE35BF">
            <w:pPr>
              <w:jc w:val="right"/>
            </w:pPr>
            <w:r>
              <w:rPr>
                <w:rFonts w:cs="Arial Unicode MS"/>
                <w:color w:val="000000"/>
                <w:sz w:val="26"/>
                <w:szCs w:val="26"/>
                <w14:textOutline w14:w="0" w14:cap="flat" w14:cmpd="sng" w14:algn="ctr">
                  <w14:noFill/>
                  <w14:prstDash w14:val="solid"/>
                  <w14:bevel/>
                </w14:textOutline>
              </w:rPr>
              <w:t>-2.164794</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21D28E"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0.002235</w:t>
            </w:r>
          </w:p>
        </w:tc>
      </w:tr>
      <w:tr w:rsidR="005A57D5" w14:paraId="5EA48F9C"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E5211C" w14:textId="77777777" w:rsidR="005A57D5" w:rsidRDefault="00CE35BF">
            <w:pPr>
              <w:pStyle w:val="TableStyle2"/>
            </w:pPr>
            <w:r>
              <w:rPr>
                <w:rFonts w:ascii="Times New Roman" w:hAnsi="Times New Roman"/>
                <w:sz w:val="26"/>
                <w:szCs w:val="26"/>
              </w:rPr>
              <w:t>IBM</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42A35"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-0.001715</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3F078"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0.015719</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D14CB" w14:textId="77777777" w:rsidR="005A57D5" w:rsidRDefault="00CE35BF">
            <w:pPr>
              <w:jc w:val="right"/>
            </w:pPr>
            <w:r>
              <w:rPr>
                <w:rFonts w:cs="Arial Unicode MS"/>
                <w:color w:val="000000"/>
                <w:sz w:val="26"/>
                <w:szCs w:val="26"/>
                <w14:textOutline w14:w="0" w14:cap="flat" w14:cmpd="sng" w14:algn="ctr">
                  <w14:noFill/>
                  <w14:prstDash w14:val="solid"/>
                  <w14:bevel/>
                </w14:textOutline>
              </w:rPr>
              <w:t>-1.724767</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38A7B" w14:textId="77777777" w:rsidR="005A57D5" w:rsidRDefault="00CE35BF">
            <w:pPr>
              <w:jc w:val="right"/>
            </w:pPr>
            <w:r>
              <w:rPr>
                <w:rFonts w:cs="Arial Unicode MS"/>
                <w:color w:val="000000"/>
                <w:sz w:val="26"/>
                <w:szCs w:val="26"/>
                <w14:textOutline w14:w="0" w14:cap="flat" w14:cmpd="sng" w14:algn="ctr">
                  <w14:noFill/>
                  <w14:prstDash w14:val="solid"/>
                  <w14:bevel/>
                </w14:textOutline>
              </w:rPr>
              <w:t>0.035560</w:t>
            </w:r>
          </w:p>
        </w:tc>
      </w:tr>
    </w:tbl>
    <w:p w14:paraId="6A26487C" w14:textId="77777777" w:rsidR="005A57D5" w:rsidRDefault="005A57D5">
      <w:pPr>
        <w:pStyle w:val="Body"/>
      </w:pPr>
    </w:p>
    <w:p w14:paraId="59B79DB4" w14:textId="77777777" w:rsidR="005A57D5" w:rsidRDefault="005A57D5">
      <w:pPr>
        <w:pStyle w:val="Body"/>
      </w:pPr>
    </w:p>
    <w:p w14:paraId="7429E85D" w14:textId="77777777" w:rsidR="005A57D5" w:rsidRDefault="005A57D5">
      <w:pPr>
        <w:pStyle w:val="Body"/>
      </w:pPr>
    </w:p>
    <w:p w14:paraId="06C44029" w14:textId="77777777" w:rsidR="005A57D5" w:rsidRDefault="00CE35BF">
      <w:pPr>
        <w:pStyle w:val="Body"/>
      </w:pPr>
      <w:r>
        <w:t>Table 3: Sample 2 for Mondays in January 1, 2009 to December 31, 2019</w:t>
      </w:r>
    </w:p>
    <w:p w14:paraId="31DE087D" w14:textId="77777777" w:rsidR="005A57D5" w:rsidRDefault="005A57D5">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2"/>
        <w:gridCol w:w="1871"/>
        <w:gridCol w:w="1871"/>
        <w:gridCol w:w="1870"/>
        <w:gridCol w:w="1871"/>
      </w:tblGrid>
      <w:tr w:rsidR="005A57D5" w14:paraId="6E7C78C7"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F8619A"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C521A5" w14:textId="77777777" w:rsidR="005A57D5" w:rsidRDefault="00CE35BF">
            <w:pPr>
              <w:pStyle w:val="TableStyle2"/>
            </w:pPr>
            <w:r>
              <w:rPr>
                <w:rFonts w:ascii="Times New Roman" w:hAnsi="Times New Roman"/>
                <w:sz w:val="26"/>
                <w:szCs w:val="26"/>
              </w:rPr>
              <w:t>Average Return</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A88279" w14:textId="77777777" w:rsidR="005A57D5" w:rsidRDefault="00CE35BF">
            <w:pPr>
              <w:pStyle w:val="TableStyle2"/>
            </w:pPr>
            <w:r>
              <w:rPr>
                <w:rFonts w:ascii="Times New Roman" w:hAnsi="Times New Roman"/>
                <w:sz w:val="26"/>
                <w:szCs w:val="26"/>
              </w:rPr>
              <w:t>Volatility</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21307" w14:textId="77777777" w:rsidR="005A57D5" w:rsidRDefault="00CE35BF">
            <w:pPr>
              <w:pStyle w:val="TableStyle2"/>
            </w:pPr>
            <w:r>
              <w:rPr>
                <w:rFonts w:ascii="Times New Roman" w:hAnsi="Times New Roman"/>
                <w:sz w:val="26"/>
                <w:szCs w:val="26"/>
              </w:rPr>
              <w:t>Sharpe</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0E0C9" w14:textId="77777777" w:rsidR="005A57D5" w:rsidRDefault="00CE35BF">
            <w:pPr>
              <w:pStyle w:val="TableStyle2"/>
            </w:pPr>
            <w:proofErr w:type="spellStart"/>
            <w:r>
              <w:rPr>
                <w:rFonts w:ascii="Times New Roman" w:hAnsi="Times New Roman"/>
                <w:sz w:val="26"/>
                <w:szCs w:val="26"/>
              </w:rPr>
              <w:t>Pvalue</w:t>
            </w:r>
            <w:proofErr w:type="spellEnd"/>
          </w:p>
        </w:tc>
      </w:tr>
      <w:tr w:rsidR="005A57D5" w14:paraId="258B0B50"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324A80" w14:textId="77777777" w:rsidR="005A57D5" w:rsidRDefault="00CE35BF">
            <w:pPr>
              <w:pStyle w:val="TableStyle2"/>
            </w:pPr>
            <w:r>
              <w:rPr>
                <w:rFonts w:ascii="Times New Roman" w:hAnsi="Times New Roman"/>
                <w:sz w:val="26"/>
                <w:szCs w:val="26"/>
              </w:rPr>
              <w:t>AAPL</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0F307"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0.002418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584E47"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0.013988</w:t>
            </w:r>
          </w:p>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FC1A7" w14:textId="77777777" w:rsidR="005A57D5" w:rsidRDefault="00CE35BF">
            <w:pPr>
              <w:jc w:val="right"/>
            </w:pPr>
            <w:r>
              <w:rPr>
                <w:rFonts w:cs="Arial Unicode MS"/>
                <w:color w:val="000000"/>
                <w:sz w:val="26"/>
                <w:szCs w:val="26"/>
                <w14:textOutline w14:w="0" w14:cap="flat" w14:cmpd="sng" w14:algn="ctr">
                  <w14:noFill/>
                  <w14:prstDash w14:val="solid"/>
                  <w14:bevel/>
                </w14:textOutline>
              </w:rPr>
              <w:t>2.732760</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74DE90"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0.000092</w:t>
            </w:r>
          </w:p>
        </w:tc>
      </w:tr>
      <w:tr w:rsidR="005A57D5" w14:paraId="0406F1C3"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3DBD19" w14:textId="77777777" w:rsidR="005A57D5" w:rsidRDefault="00CE35BF">
            <w:pPr>
              <w:pStyle w:val="TableStyle2"/>
            </w:pPr>
            <w:r>
              <w:rPr>
                <w:rFonts w:ascii="Times New Roman" w:hAnsi="Times New Roman"/>
                <w:sz w:val="26"/>
                <w:szCs w:val="26"/>
              </w:rPr>
              <w:t>CSCO</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8C5B65"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0.001192</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B2070"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0.011082</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382E25" w14:textId="77777777" w:rsidR="005A57D5" w:rsidRDefault="00CE35BF">
            <w:pPr>
              <w:jc w:val="right"/>
            </w:pPr>
            <w:r>
              <w:rPr>
                <w:rFonts w:cs="Arial Unicode MS"/>
                <w:color w:val="000000"/>
                <w:sz w:val="26"/>
                <w:szCs w:val="26"/>
                <w14:textOutline w14:w="0" w14:cap="flat" w14:cmpd="sng" w14:algn="ctr">
                  <w14:noFill/>
                  <w14:prstDash w14:val="solid"/>
                  <w14:bevel/>
                </w14:textOutline>
              </w:rPr>
              <w:t>1.700843</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4F29E3" w14:textId="77777777" w:rsidR="005A57D5" w:rsidRDefault="00CE35BF">
            <w:pPr>
              <w:jc w:val="right"/>
            </w:pPr>
            <w:r>
              <w:rPr>
                <w:rFonts w:cs="Arial Unicode MS"/>
                <w:color w:val="000000"/>
                <w:sz w:val="26"/>
                <w:szCs w:val="26"/>
                <w14:textOutline w14:w="0" w14:cap="flat" w14:cmpd="sng" w14:algn="ctr">
                  <w14:noFill/>
                  <w14:prstDash w14:val="solid"/>
                  <w14:bevel/>
                </w14:textOutline>
              </w:rPr>
              <w:t>0.014495</w:t>
            </w:r>
          </w:p>
        </w:tc>
      </w:tr>
      <w:tr w:rsidR="005A57D5" w14:paraId="0D591D89" w14:textId="77777777">
        <w:trPr>
          <w:trHeight w:val="314"/>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7588E7" w14:textId="77777777" w:rsidR="005A57D5" w:rsidRDefault="00CE35BF">
            <w:pPr>
              <w:pStyle w:val="TableStyle2"/>
            </w:pPr>
            <w:r>
              <w:rPr>
                <w:rFonts w:ascii="Times New Roman" w:hAnsi="Times New Roman"/>
                <w:sz w:val="26"/>
                <w:szCs w:val="26"/>
              </w:rPr>
              <w:t>IBM</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11CF33"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0.001158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46A3BB"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0.009594</w:t>
            </w:r>
          </w:p>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040C5C" w14:textId="77777777" w:rsidR="005A57D5" w:rsidRDefault="00CE35BF">
            <w:pPr>
              <w:jc w:val="right"/>
            </w:pPr>
            <w:r>
              <w:rPr>
                <w:rFonts w:cs="Arial Unicode MS"/>
                <w:color w:val="000000"/>
                <w:sz w:val="26"/>
                <w:szCs w:val="26"/>
                <w14:textOutline w14:w="0" w14:cap="flat" w14:cmpd="sng" w14:algn="ctr">
                  <w14:noFill/>
                  <w14:prstDash w14:val="solid"/>
                  <w14:bevel/>
                </w14:textOutline>
              </w:rPr>
              <w:t>1.908557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5AED93" w14:textId="77777777" w:rsidR="005A57D5" w:rsidRDefault="00CE35BF">
            <w:pPr>
              <w:jc w:val="right"/>
            </w:pPr>
            <w:r>
              <w:rPr>
                <w:rFonts w:cs="Arial Unicode MS"/>
                <w:color w:val="000000"/>
                <w:sz w:val="26"/>
                <w:szCs w:val="26"/>
                <w14:textOutline w14:w="0" w14:cap="flat" w14:cmpd="sng" w14:algn="ctr">
                  <w14:noFill/>
                  <w14:prstDash w14:val="solid"/>
                  <w14:bevel/>
                </w14:textOutline>
              </w:rPr>
              <w:t>0.006120</w:t>
            </w:r>
          </w:p>
        </w:tc>
      </w:tr>
    </w:tbl>
    <w:p w14:paraId="2ECED16F" w14:textId="77777777" w:rsidR="005A57D5" w:rsidRDefault="005A57D5">
      <w:pPr>
        <w:pStyle w:val="Body"/>
      </w:pPr>
    </w:p>
    <w:p w14:paraId="4F455FCC" w14:textId="77777777" w:rsidR="005A57D5" w:rsidRDefault="005A57D5">
      <w:pPr>
        <w:pStyle w:val="Body"/>
      </w:pPr>
    </w:p>
    <w:p w14:paraId="260BF014" w14:textId="2F4D9275" w:rsidR="005A57D5" w:rsidRDefault="005A57D5">
      <w:pPr>
        <w:pStyle w:val="Body"/>
      </w:pPr>
    </w:p>
    <w:p w14:paraId="4DF8673F" w14:textId="77777777" w:rsidR="000A1015" w:rsidRDefault="000A1015">
      <w:pPr>
        <w:pStyle w:val="Body"/>
      </w:pPr>
    </w:p>
    <w:p w14:paraId="3305E6DD" w14:textId="77777777" w:rsidR="005A57D5" w:rsidRDefault="00CE35BF">
      <w:pPr>
        <w:pStyle w:val="Body"/>
      </w:pPr>
      <w:r>
        <w:lastRenderedPageBreak/>
        <w:t>Table 4: Identify Anomalies Tuesday through Friday and their returns</w:t>
      </w:r>
    </w:p>
    <w:p w14:paraId="04767D96" w14:textId="77777777" w:rsidR="005A57D5" w:rsidRDefault="005A57D5">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2"/>
        <w:gridCol w:w="1871"/>
        <w:gridCol w:w="1871"/>
        <w:gridCol w:w="1870"/>
        <w:gridCol w:w="1871"/>
      </w:tblGrid>
      <w:tr w:rsidR="005A57D5" w14:paraId="244F638C"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BC9A0A"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E5476" w14:textId="77777777" w:rsidR="005A57D5" w:rsidRDefault="00CE35BF">
            <w:pPr>
              <w:pStyle w:val="TableStyle2"/>
            </w:pPr>
            <w:r>
              <w:rPr>
                <w:rFonts w:ascii="Times New Roman" w:hAnsi="Times New Roman"/>
                <w:sz w:val="24"/>
                <w:szCs w:val="24"/>
              </w:rPr>
              <w:t>Tuesday</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B231D" w14:textId="77777777" w:rsidR="005A57D5" w:rsidRDefault="00CE35BF">
            <w:pPr>
              <w:pStyle w:val="TableStyle2"/>
            </w:pPr>
            <w:r>
              <w:rPr>
                <w:rFonts w:ascii="Times New Roman" w:hAnsi="Times New Roman"/>
                <w:sz w:val="24"/>
                <w:szCs w:val="24"/>
              </w:rPr>
              <w:t>Wednesday</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6EC6E8" w14:textId="77777777" w:rsidR="005A57D5" w:rsidRDefault="00CE35BF">
            <w:pPr>
              <w:pStyle w:val="TableStyle2"/>
            </w:pPr>
            <w:r>
              <w:rPr>
                <w:rFonts w:ascii="Times New Roman" w:hAnsi="Times New Roman"/>
                <w:sz w:val="24"/>
                <w:szCs w:val="24"/>
              </w:rPr>
              <w:t>Thursday</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D1950A" w14:textId="77777777" w:rsidR="005A57D5" w:rsidRDefault="00CE35BF">
            <w:pPr>
              <w:pStyle w:val="TableStyle2"/>
            </w:pPr>
            <w:r>
              <w:rPr>
                <w:rFonts w:ascii="Times New Roman" w:hAnsi="Times New Roman"/>
                <w:sz w:val="24"/>
                <w:szCs w:val="24"/>
              </w:rPr>
              <w:t>Friday</w:t>
            </w:r>
          </w:p>
        </w:tc>
      </w:tr>
      <w:tr w:rsidR="005A57D5" w14:paraId="15B47295"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AAD35" w14:textId="77777777" w:rsidR="005A57D5" w:rsidRDefault="00CE35BF">
            <w:pPr>
              <w:pStyle w:val="TableStyle2"/>
            </w:pPr>
            <w:r>
              <w:rPr>
                <w:rFonts w:ascii="Times New Roman" w:hAnsi="Times New Roman"/>
                <w:sz w:val="24"/>
                <w:szCs w:val="24"/>
              </w:rPr>
              <w:t>ABT</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72C37855"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EC49EB"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36DC8BB9"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E8F965" w14:textId="77777777" w:rsidR="005A57D5" w:rsidRDefault="005A57D5"/>
        </w:tc>
      </w:tr>
      <w:tr w:rsidR="005A57D5" w14:paraId="5A07F478"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9C7E44" w14:textId="77777777" w:rsidR="005A57D5" w:rsidRDefault="00CE35BF">
            <w:pPr>
              <w:pStyle w:val="TableStyle2"/>
            </w:pPr>
            <w:r>
              <w:rPr>
                <w:rFonts w:ascii="Times New Roman" w:hAnsi="Times New Roman"/>
                <w:sz w:val="24"/>
                <w:szCs w:val="24"/>
              </w:rPr>
              <w:t>C</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4E31F"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A1618"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60D836"/>
            <w:tcMar>
              <w:top w:w="80" w:type="dxa"/>
              <w:left w:w="80" w:type="dxa"/>
              <w:bottom w:w="80" w:type="dxa"/>
              <w:right w:w="80" w:type="dxa"/>
            </w:tcMar>
          </w:tcPr>
          <w:p w14:paraId="041E7E0D"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60D836"/>
            <w:tcMar>
              <w:top w:w="80" w:type="dxa"/>
              <w:left w:w="80" w:type="dxa"/>
              <w:bottom w:w="80" w:type="dxa"/>
              <w:right w:w="80" w:type="dxa"/>
            </w:tcMar>
          </w:tcPr>
          <w:p w14:paraId="20D65858" w14:textId="77777777" w:rsidR="005A57D5" w:rsidRDefault="00CE35BF">
            <w:pPr>
              <w:pStyle w:val="TableStyle2"/>
            </w:pPr>
            <w:r>
              <w:rPr>
                <w:rFonts w:ascii="Times New Roman" w:hAnsi="Times New Roman"/>
                <w:sz w:val="24"/>
                <w:szCs w:val="24"/>
              </w:rPr>
              <w:t>Yes</w:t>
            </w:r>
          </w:p>
        </w:tc>
      </w:tr>
      <w:tr w:rsidR="005A57D5" w14:paraId="4B7D1A2B"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A8AE3" w14:textId="77777777" w:rsidR="005A57D5" w:rsidRDefault="00CE35BF">
            <w:pPr>
              <w:pStyle w:val="TableStyle2"/>
            </w:pPr>
            <w:r>
              <w:rPr>
                <w:rFonts w:ascii="Times New Roman" w:hAnsi="Times New Roman"/>
                <w:sz w:val="24"/>
                <w:szCs w:val="24"/>
              </w:rPr>
              <w:t>CSCO</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EF2ADD"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4C38A0"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2531E2"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78F78A2F" w14:textId="77777777" w:rsidR="005A57D5" w:rsidRDefault="00CE35BF">
            <w:pPr>
              <w:pStyle w:val="TableStyle2"/>
            </w:pPr>
            <w:r>
              <w:rPr>
                <w:rFonts w:ascii="Times New Roman" w:hAnsi="Times New Roman"/>
                <w:sz w:val="24"/>
                <w:szCs w:val="24"/>
              </w:rPr>
              <w:t>Yes</w:t>
            </w:r>
          </w:p>
        </w:tc>
      </w:tr>
      <w:tr w:rsidR="005A57D5" w14:paraId="400DBCDE"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61CF72" w14:textId="77777777" w:rsidR="005A57D5" w:rsidRDefault="00CE35BF">
            <w:pPr>
              <w:pStyle w:val="TableStyle2"/>
            </w:pPr>
            <w:r>
              <w:rPr>
                <w:rFonts w:ascii="Times New Roman" w:hAnsi="Times New Roman"/>
                <w:sz w:val="24"/>
                <w:szCs w:val="24"/>
              </w:rPr>
              <w:t>DIS</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00A80"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FB247"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60D836"/>
            <w:tcMar>
              <w:top w:w="80" w:type="dxa"/>
              <w:left w:w="80" w:type="dxa"/>
              <w:bottom w:w="80" w:type="dxa"/>
              <w:right w:w="80" w:type="dxa"/>
            </w:tcMar>
          </w:tcPr>
          <w:p w14:paraId="78E74F91"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60D836"/>
            <w:tcMar>
              <w:top w:w="80" w:type="dxa"/>
              <w:left w:w="80" w:type="dxa"/>
              <w:bottom w:w="80" w:type="dxa"/>
              <w:right w:w="80" w:type="dxa"/>
            </w:tcMar>
          </w:tcPr>
          <w:p w14:paraId="5CE45E97" w14:textId="77777777" w:rsidR="005A57D5" w:rsidRDefault="00CE35BF">
            <w:pPr>
              <w:pStyle w:val="TableStyle2"/>
            </w:pPr>
            <w:r>
              <w:rPr>
                <w:rFonts w:ascii="Times New Roman" w:hAnsi="Times New Roman"/>
                <w:sz w:val="24"/>
                <w:szCs w:val="24"/>
              </w:rPr>
              <w:t>Yes</w:t>
            </w:r>
          </w:p>
        </w:tc>
      </w:tr>
      <w:tr w:rsidR="005A57D5" w14:paraId="1AAC93B5"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136DB5" w14:textId="77777777" w:rsidR="005A57D5" w:rsidRDefault="00CE35BF">
            <w:pPr>
              <w:pStyle w:val="TableStyle2"/>
            </w:pPr>
            <w:r>
              <w:rPr>
                <w:rFonts w:ascii="Times New Roman" w:hAnsi="Times New Roman"/>
                <w:sz w:val="24"/>
                <w:szCs w:val="24"/>
              </w:rPr>
              <w:t>IBM</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0664A986"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C83B51"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9870C3"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2AB69D" w14:textId="77777777" w:rsidR="005A57D5" w:rsidRDefault="005A57D5"/>
        </w:tc>
      </w:tr>
      <w:tr w:rsidR="005A57D5" w14:paraId="491059F7"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AB452B" w14:textId="77777777" w:rsidR="005A57D5" w:rsidRDefault="00CE35BF">
            <w:pPr>
              <w:pStyle w:val="TableStyle2"/>
            </w:pPr>
            <w:r>
              <w:rPr>
                <w:rFonts w:ascii="Times New Roman" w:hAnsi="Times New Roman"/>
                <w:sz w:val="24"/>
                <w:szCs w:val="24"/>
              </w:rPr>
              <w:t>JNJ</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6A896839"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70383C"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A345B"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2769BC" w14:textId="77777777" w:rsidR="005A57D5" w:rsidRDefault="005A57D5"/>
        </w:tc>
      </w:tr>
      <w:tr w:rsidR="005A57D5" w14:paraId="3C4BCF33"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83E90" w14:textId="77777777" w:rsidR="005A57D5" w:rsidRDefault="00CE35BF">
            <w:pPr>
              <w:pStyle w:val="TableStyle2"/>
            </w:pPr>
            <w:r>
              <w:rPr>
                <w:rFonts w:ascii="Times New Roman" w:hAnsi="Times New Roman"/>
                <w:sz w:val="24"/>
                <w:szCs w:val="24"/>
              </w:rPr>
              <w:t>INTC</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64C805"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5A3A04"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7068E5"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5774F0EE" w14:textId="77777777" w:rsidR="005A57D5" w:rsidRDefault="00CE35BF">
            <w:pPr>
              <w:pStyle w:val="TableStyle2"/>
            </w:pPr>
            <w:r>
              <w:rPr>
                <w:rFonts w:ascii="Times New Roman" w:hAnsi="Times New Roman"/>
                <w:sz w:val="24"/>
                <w:szCs w:val="24"/>
              </w:rPr>
              <w:t>Yes</w:t>
            </w:r>
          </w:p>
        </w:tc>
      </w:tr>
      <w:tr w:rsidR="005A57D5" w14:paraId="33D66AF5"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58B137" w14:textId="77777777" w:rsidR="005A57D5" w:rsidRDefault="00CE35BF">
            <w:pPr>
              <w:pStyle w:val="TableStyle2"/>
            </w:pPr>
            <w:r>
              <w:rPr>
                <w:rFonts w:ascii="Times New Roman" w:hAnsi="Times New Roman"/>
                <w:sz w:val="24"/>
                <w:szCs w:val="24"/>
              </w:rPr>
              <w:t>KO</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3C937514"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7FFF61E5" w14:textId="77777777" w:rsidR="005A57D5" w:rsidRDefault="00CE35BF">
            <w:pPr>
              <w:pStyle w:val="TableStyle2"/>
            </w:pPr>
            <w:r>
              <w:rPr>
                <w:rFonts w:ascii="Times New Roman" w:hAnsi="Times New Roman"/>
                <w:sz w:val="24"/>
                <w:szCs w:val="24"/>
              </w:rPr>
              <w:t>Yes</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5B8209"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983FDA" w14:textId="77777777" w:rsidR="005A57D5" w:rsidRDefault="005A57D5"/>
        </w:tc>
      </w:tr>
      <w:tr w:rsidR="005A57D5" w14:paraId="5767310A"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D20DE6" w14:textId="77777777" w:rsidR="005A57D5" w:rsidRDefault="00CE35BF">
            <w:pPr>
              <w:pStyle w:val="TableStyle2"/>
            </w:pPr>
            <w:r>
              <w:rPr>
                <w:rFonts w:ascii="Times New Roman" w:hAnsi="Times New Roman"/>
                <w:sz w:val="24"/>
                <w:szCs w:val="24"/>
              </w:rPr>
              <w:t>MCD</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6C02AC"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AF83B0"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5BAC84"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55F5F28F" w14:textId="77777777" w:rsidR="005A57D5" w:rsidRDefault="00CE35BF">
            <w:pPr>
              <w:pStyle w:val="TableStyle2"/>
            </w:pPr>
            <w:r>
              <w:rPr>
                <w:rFonts w:ascii="Times New Roman" w:hAnsi="Times New Roman"/>
                <w:sz w:val="24"/>
                <w:szCs w:val="24"/>
              </w:rPr>
              <w:t>Yes</w:t>
            </w:r>
          </w:p>
        </w:tc>
      </w:tr>
      <w:tr w:rsidR="005A57D5" w14:paraId="710A5735"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D12559" w14:textId="77777777" w:rsidR="005A57D5" w:rsidRDefault="00CE35BF">
            <w:pPr>
              <w:pStyle w:val="TableStyle2"/>
            </w:pPr>
            <w:r>
              <w:rPr>
                <w:rFonts w:ascii="Times New Roman" w:hAnsi="Times New Roman"/>
                <w:sz w:val="24"/>
                <w:szCs w:val="24"/>
              </w:rPr>
              <w:t>MSFT</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92A391"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99E285"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93D112"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5DC887B0" w14:textId="77777777" w:rsidR="005A57D5" w:rsidRDefault="00CE35BF">
            <w:pPr>
              <w:pStyle w:val="TableStyle2"/>
            </w:pPr>
            <w:r>
              <w:rPr>
                <w:rFonts w:ascii="Times New Roman" w:hAnsi="Times New Roman"/>
                <w:sz w:val="24"/>
                <w:szCs w:val="24"/>
              </w:rPr>
              <w:t>Yes</w:t>
            </w:r>
          </w:p>
        </w:tc>
      </w:tr>
      <w:tr w:rsidR="005A57D5" w14:paraId="230915AD"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C07827" w14:textId="77777777" w:rsidR="005A57D5" w:rsidRDefault="00CE35BF">
            <w:pPr>
              <w:pStyle w:val="TableStyle2"/>
            </w:pPr>
            <w:r>
              <w:rPr>
                <w:rFonts w:ascii="Times New Roman" w:hAnsi="Times New Roman"/>
                <w:sz w:val="24"/>
                <w:szCs w:val="24"/>
              </w:rPr>
              <w:t>PEP</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56CE3939"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40761D5E" w14:textId="77777777" w:rsidR="005A57D5" w:rsidRDefault="00CE35BF">
            <w:pPr>
              <w:pStyle w:val="TableStyle2"/>
            </w:pPr>
            <w:r>
              <w:rPr>
                <w:rFonts w:ascii="Times New Roman" w:hAnsi="Times New Roman"/>
                <w:sz w:val="24"/>
                <w:szCs w:val="24"/>
              </w:rPr>
              <w:t>Yes</w:t>
            </w:r>
          </w:p>
        </w:tc>
        <w:tc>
          <w:tcPr>
            <w:tcW w:w="1870"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0E517AF0"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E61038" w14:textId="77777777" w:rsidR="005A57D5" w:rsidRDefault="005A57D5"/>
        </w:tc>
      </w:tr>
      <w:tr w:rsidR="005A57D5" w14:paraId="59C1AA48"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165D1" w14:textId="77777777" w:rsidR="005A57D5" w:rsidRDefault="00CE35BF">
            <w:pPr>
              <w:pStyle w:val="TableStyle2"/>
            </w:pPr>
            <w:r>
              <w:rPr>
                <w:rFonts w:ascii="Times New Roman" w:hAnsi="Times New Roman"/>
                <w:sz w:val="24"/>
                <w:szCs w:val="24"/>
              </w:rPr>
              <w:t>PG</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1AFBBFD8"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46FB8ECB" w14:textId="77777777" w:rsidR="005A57D5" w:rsidRDefault="00CE35BF">
            <w:pPr>
              <w:pStyle w:val="TableStyle2"/>
            </w:pPr>
            <w:r>
              <w:rPr>
                <w:rFonts w:ascii="Times New Roman" w:hAnsi="Times New Roman"/>
                <w:sz w:val="24"/>
                <w:szCs w:val="24"/>
              </w:rPr>
              <w:t>Yes</w:t>
            </w:r>
          </w:p>
        </w:tc>
        <w:tc>
          <w:tcPr>
            <w:tcW w:w="1870"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3BA1ECF8"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0CBD29" w14:textId="77777777" w:rsidR="005A57D5" w:rsidRDefault="005A57D5"/>
        </w:tc>
      </w:tr>
      <w:tr w:rsidR="005A57D5" w14:paraId="18BEFF10" w14:textId="77777777">
        <w:trPr>
          <w:trHeight w:val="295"/>
        </w:trPr>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AE6492" w14:textId="77777777" w:rsidR="005A57D5" w:rsidRDefault="00CE35BF">
            <w:pPr>
              <w:pStyle w:val="TableStyle2"/>
            </w:pPr>
            <w:r>
              <w:rPr>
                <w:rFonts w:ascii="Times New Roman" w:hAnsi="Times New Roman"/>
                <w:sz w:val="24"/>
                <w:szCs w:val="24"/>
              </w:rPr>
              <w:t>XOM</w:t>
            </w:r>
          </w:p>
        </w:tc>
        <w:tc>
          <w:tcPr>
            <w:tcW w:w="1871"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3E551BC4" w14:textId="77777777" w:rsidR="005A57D5" w:rsidRDefault="00CE35BF">
            <w:pPr>
              <w:pStyle w:val="TableStyle2"/>
            </w:pPr>
            <w:r>
              <w:rPr>
                <w:rFonts w:ascii="Times New Roman" w:hAnsi="Times New Roman"/>
                <w:sz w:val="24"/>
                <w:szCs w:val="24"/>
              </w:rPr>
              <w:t>Yes</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7093D" w14:textId="77777777" w:rsidR="005A57D5" w:rsidRDefault="005A57D5"/>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A5D9A" w14:textId="77777777" w:rsidR="005A57D5" w:rsidRDefault="005A57D5"/>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59AC2" w14:textId="77777777" w:rsidR="005A57D5" w:rsidRDefault="005A57D5"/>
        </w:tc>
      </w:tr>
    </w:tbl>
    <w:p w14:paraId="724BC294" w14:textId="77777777" w:rsidR="005A57D5" w:rsidRDefault="005A57D5">
      <w:pPr>
        <w:pStyle w:val="Body"/>
      </w:pPr>
    </w:p>
    <w:sectPr w:rsidR="005A57D5">
      <w:headerReference w:type="default" r:id="rId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FF9ED" w14:textId="77777777" w:rsidR="00CE35BF" w:rsidRDefault="00CE35BF">
      <w:r>
        <w:separator/>
      </w:r>
    </w:p>
  </w:endnote>
  <w:endnote w:type="continuationSeparator" w:id="0">
    <w:p w14:paraId="20F9C1F0" w14:textId="77777777" w:rsidR="00CE35BF" w:rsidRDefault="00CE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B73E7" w14:textId="77777777" w:rsidR="00CE35BF" w:rsidRDefault="00CE35BF">
      <w:r>
        <w:separator/>
      </w:r>
    </w:p>
  </w:footnote>
  <w:footnote w:type="continuationSeparator" w:id="0">
    <w:p w14:paraId="4602EEB1" w14:textId="77777777" w:rsidR="00CE35BF" w:rsidRDefault="00CE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27DF6" w14:textId="5FE6AB7C" w:rsidR="005A57D5" w:rsidRDefault="005A57D5">
    <w:pPr>
      <w:pStyle w:val="HeaderFooter"/>
      <w:tabs>
        <w:tab w:val="clear" w:pos="9020"/>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D5"/>
    <w:rsid w:val="000A1015"/>
    <w:rsid w:val="002F664F"/>
    <w:rsid w:val="005A57D5"/>
    <w:rsid w:val="00CE35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150189"/>
  <w15:docId w15:val="{7DF108BA-95B4-5E45-9ABE-C1D514CE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0A1015"/>
    <w:pPr>
      <w:tabs>
        <w:tab w:val="center" w:pos="4680"/>
        <w:tab w:val="right" w:pos="9360"/>
      </w:tabs>
    </w:pPr>
  </w:style>
  <w:style w:type="character" w:customStyle="1" w:styleId="HeaderChar">
    <w:name w:val="Header Char"/>
    <w:basedOn w:val="DefaultParagraphFont"/>
    <w:link w:val="Header"/>
    <w:uiPriority w:val="99"/>
    <w:rsid w:val="000A1015"/>
    <w:rPr>
      <w:sz w:val="24"/>
      <w:szCs w:val="24"/>
      <w:lang w:val="en-US"/>
    </w:rPr>
  </w:style>
  <w:style w:type="paragraph" w:styleId="Footer">
    <w:name w:val="footer"/>
    <w:basedOn w:val="Normal"/>
    <w:link w:val="FooterChar"/>
    <w:uiPriority w:val="99"/>
    <w:unhideWhenUsed/>
    <w:rsid w:val="000A1015"/>
    <w:pPr>
      <w:tabs>
        <w:tab w:val="center" w:pos="4680"/>
        <w:tab w:val="right" w:pos="9360"/>
      </w:tabs>
    </w:pPr>
  </w:style>
  <w:style w:type="character" w:customStyle="1" w:styleId="FooterChar">
    <w:name w:val="Footer Char"/>
    <w:basedOn w:val="DefaultParagraphFont"/>
    <w:link w:val="Footer"/>
    <w:uiPriority w:val="99"/>
    <w:rsid w:val="000A101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Ann Hocking</cp:lastModifiedBy>
  <cp:revision>3</cp:revision>
  <dcterms:created xsi:type="dcterms:W3CDTF">2020-05-08T01:59:00Z</dcterms:created>
  <dcterms:modified xsi:type="dcterms:W3CDTF">2020-05-08T02:01:00Z</dcterms:modified>
</cp:coreProperties>
</file>