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Auditor Manual — v1.7.3</w:t>
      </w:r>
    </w:p>
    <w:p>
      <w:pPr>
        <w:pStyle w:val="Heading1"/>
        <w:spacing w:after="100" w:before="200"/>
      </w:pPr>
      <w:r>
        <w:rPr>
          <w:color w:val="0F6E56"/>
        </w:rPr>
        <w:t xml:space="preserve">WILMS Auditor Manual</w:t>
      </w:r>
    </w:p>
    <w:p>
      <w:pPr>
        <w:spacing w:after="120"/>
      </w:pPr>
      <w:r>
        <w:rPr>
          <w:sz w:val="22"/>
          <w:szCs w:val="22"/>
        </w:rPr>
        <w:t xml:space="preserve">Version: 1.7.3 Role: Auditor Classification: Confidential</w:t>
      </w:r>
    </w:p>
    <w:p>
      <w:pPr>
        <w:pStyle w:val="Heading2"/>
        <w:spacing w:after="100" w:before="200"/>
      </w:pPr>
      <w:r>
        <w:rPr>
          <w:color w:val="0F6E56"/>
        </w:rP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Auditors have read-only access to reports, audit logs, risk flags, and export artefacts. You cannot modify borrowers, loans, payments, or system settings.</w:t>
      </w:r>
    </w:p>
    <w:p>
      <w:pPr>
        <w:pStyle w:val="Heading2"/>
        <w:spacing w:after="100" w:before="200"/>
      </w:pPr>
      <w:r>
        <w:rPr>
          <w:color w:val="0F6E56"/>
        </w:rPr>
        <w:t xml:space="preserve">2. Getting started</w:t>
      </w:r>
    </w:p>
    <w:p>
      <w:pPr>
        <w:spacing w:after="120"/>
      </w:pPr>
      <w:r>
        <w:rPr>
          <w:sz w:val="22"/>
          <w:szCs w:val="22"/>
        </w:rPr>
        <w:t xml:space="preserve">Login with auditor credentials. Dashboard shows read-only KPIs and report shortcuts.</w:t>
      </w:r>
    </w:p>
    <w:p>
      <w:pPr>
        <w:pStyle w:val="Heading2"/>
        <w:spacing w:after="100" w:before="200"/>
      </w:pPr>
      <w:r>
        <w:rPr>
          <w:color w:val="0F6E56"/>
        </w:rPr>
        <w:t xml:space="preserve">3. Reports</w:t>
      </w:r>
    </w:p>
    <w:p>
      <w:pPr>
        <w:spacing w:after="120"/>
      </w:pPr>
      <w:r>
        <w:rPr>
          <w:sz w:val="22"/>
          <w:szCs w:val="22"/>
        </w:rPr>
        <w:t xml:space="preserve">Reports → Select report type. Available reports include:</w:t>
      </w:r>
    </w:p>
    <w:p>
      <w:pPr>
        <w:spacing w:after="120"/>
      </w:pPr>
      <w:r>
        <w:rPr>
          <w:sz w:val="22"/>
          <w:szCs w:val="22"/>
        </w:rPr>
        <w:t xml:space="preserve">• Portfolio summary</w:t>
      </w:r>
    </w:p>
    <w:p>
      <w:pPr>
        <w:spacing w:after="120"/>
      </w:pPr>
      <w:r>
        <w:rPr>
          <w:sz w:val="22"/>
          <w:szCs w:val="22"/>
        </w:rPr>
        <w:t xml:space="preserve">• Collection performance</w:t>
      </w:r>
    </w:p>
    <w:p>
      <w:pPr>
        <w:spacing w:after="120"/>
      </w:pPr>
      <w:r>
        <w:rPr>
          <w:sz w:val="22"/>
          <w:szCs w:val="22"/>
        </w:rPr>
        <w:t xml:space="preserve">• Overdue analysis</w:t>
      </w:r>
    </w:p>
    <w:p>
      <w:pPr>
        <w:spacing w:after="120"/>
      </w:pPr>
      <w:r>
        <w:rPr>
          <w:sz w:val="22"/>
          <w:szCs w:val="22"/>
        </w:rPr>
        <w:t xml:space="preserve">• Disbursement register</w:t>
      </w:r>
    </w:p>
    <w:p>
      <w:pPr>
        <w:spacing w:after="120"/>
      </w:pPr>
      <w:r>
        <w:rPr>
          <w:sz w:val="22"/>
          <w:szCs w:val="22"/>
        </w:rPr>
        <w:t xml:space="preserve">• Expense summary</w:t>
      </w:r>
    </w:p>
    <w:p>
      <w:pPr>
        <w:spacing w:after="120"/>
      </w:pPr>
      <w:r>
        <w:rPr>
          <w:sz w:val="22"/>
          <w:szCs w:val="22"/>
        </w:rPr>
        <w:t xml:space="preserve">• Reconciliation status</w:t>
      </w:r>
    </w:p>
    <w:p>
      <w:pPr>
        <w:spacing w:after="120"/>
      </w:pPr>
      <w:r>
        <w:rPr>
          <w:sz w:val="22"/>
          <w:szCs w:val="22"/>
        </w:rPr>
        <w:t xml:space="preserve">• Borrower register</w:t>
      </w:r>
    </w:p>
    <w:p>
      <w:pPr>
        <w:spacing w:after="120"/>
      </w:pPr>
      <w:r>
        <w:rPr>
          <w:sz w:val="22"/>
          <w:szCs w:val="22"/>
        </w:rPr>
        <w:t xml:space="preserve">Apply filters and run. Export using contextual export buttons (PDF, Excel, CSV).</w:t>
      </w:r>
    </w:p>
    <w:p>
      <w:pPr>
        <w:pStyle w:val="Heading2"/>
        <w:spacing w:after="100" w:before="200"/>
      </w:pPr>
      <w:r>
        <w:rPr>
          <w:color w:val="0F6E56"/>
        </w:rPr>
        <w:t xml:space="preserve">4. Audit log</w:t>
      </w:r>
    </w:p>
    <w:p>
      <w:pPr>
        <w:spacing w:after="120"/>
      </w:pPr>
      <w:r>
        <w:rPr>
          <w:sz w:val="22"/>
          <w:szCs w:val="22"/>
        </w:rPr>
        <w:t xml:space="preserve">Audit → Filter by:</w:t>
      </w:r>
    </w:p>
    <w:p>
      <w:pPr>
        <w:spacing w:after="120"/>
      </w:pPr>
      <w:r>
        <w:rPr>
          <w:sz w:val="22"/>
          <w:szCs w:val="22"/>
        </w:rPr>
        <w:t xml:space="preserve">• Action type (login, approval, payment, etc.)</w:t>
      </w:r>
    </w:p>
    <w:p>
      <w:pPr>
        <w:spacing w:after="120"/>
      </w:pPr>
      <w:r>
        <w:rPr>
          <w:sz w:val="22"/>
          <w:szCs w:val="22"/>
        </w:rPr>
        <w:t xml:space="preserve">• Actor (user)</w:t>
      </w:r>
    </w:p>
    <w:p>
      <w:pPr>
        <w:spacing w:after="120"/>
      </w:pPr>
      <w:r>
        <w:rPr>
          <w:sz w:val="22"/>
          <w:szCs w:val="22"/>
        </w:rPr>
        <w:t xml:space="preserve">• Date range</w:t>
      </w:r>
    </w:p>
    <w:p>
      <w:pPr>
        <w:spacing w:after="120"/>
      </w:pPr>
      <w:r>
        <w:rPr>
          <w:sz w:val="22"/>
          <w:szCs w:val="22"/>
        </w:rPr>
        <w:t xml:space="preserve">• Target entity</w:t>
      </w:r>
    </w:p>
    <w:p>
      <w:pPr>
        <w:spacing w:after="120"/>
      </w:pPr>
      <w:r>
        <w:rPr>
          <w:sz w:val="22"/>
          <w:szCs w:val="22"/>
        </w:rPr>
        <w:t xml:space="preserve">All entries are immutable. Use for compliance verification and investigation.</w:t>
      </w:r>
    </w:p>
    <w:p>
      <w:pPr>
        <w:pStyle w:val="Heading2"/>
        <w:spacing w:after="100" w:before="200"/>
      </w:pPr>
      <w:r>
        <w:rPr>
          <w:color w:val="0F6E56"/>
        </w:rPr>
        <w:t xml:space="preserve">5. Risk flags</w:t>
      </w:r>
    </w:p>
    <w:p>
      <w:pPr>
        <w:spacing w:after="120"/>
      </w:pPr>
      <w:r>
        <w:rPr>
          <w:sz w:val="22"/>
          <w:szCs w:val="22"/>
        </w:rPr>
        <w:t xml:space="preserve">Risk Flags → View all active and resolved flags. Read-only. Review approver decisions documented in audit log.</w:t>
      </w:r>
    </w:p>
    <w:p>
      <w:pPr>
        <w:pStyle w:val="Heading2"/>
        <w:spacing w:after="100" w:before="200"/>
      </w:pPr>
      <w:r>
        <w:rPr>
          <w:color w:val="0F6E56"/>
        </w:rPr>
        <w:t xml:space="preserve">6. Executive intelligence</w:t>
      </w:r>
    </w:p>
    <w:p>
      <w:pPr>
        <w:spacing w:after="120"/>
      </w:pPr>
      <w:r>
        <w:rPr>
          <w:sz w:val="22"/>
          <w:szCs w:val="22"/>
        </w:rPr>
        <w:t xml:space="preserve">Executive Intelligence → View board-grade KPIs, portfolio breakdown, and forecast. Export compliance pack for external review.</w:t>
      </w:r>
    </w:p>
    <w:p>
      <w:pPr>
        <w:pStyle w:val="Heading2"/>
        <w:spacing w:after="100" w:before="200"/>
      </w:pPr>
      <w:r>
        <w:rPr>
          <w:color w:val="0F6E56"/>
        </w:rPr>
        <w:t xml:space="preserve">7. Exports</w:t>
      </w:r>
    </w:p>
    <w:p>
      <w:pPr>
        <w:spacing w:after="120"/>
      </w:pPr>
      <w:r>
        <w:rPr>
          <w:sz w:val="22"/>
          <w:szCs w:val="22"/>
        </w:rPr>
        <w:t xml:space="preserve">All exports include confidentiality footer. Store exported files securely. Do not share outside authorized personnel.</w:t>
      </w:r>
    </w:p>
    <w:p>
      <w:pPr>
        <w:spacing w:after="120"/>
      </w:pPr>
      <w:r>
        <w:rPr>
          <w:sz w:val="22"/>
          <w:szCs w:val="22"/>
        </w:rPr>
        <w:t xml:space="preserve">Note (v1.7.3): Export from report pages and executive intelligence directly. Standalone Export Center removed.</w:t>
      </w:r>
    </w:p>
    <w:p>
      <w:pPr>
        <w:pStyle w:val="Heading2"/>
        <w:spacing w:after="100" w:before="200"/>
      </w:pPr>
      <w:r>
        <w:rPr>
          <w:color w:val="0F6E56"/>
        </w:rPr>
        <w:t xml:space="preserve">8. What you cannot do</w:t>
      </w:r>
    </w:p>
    <w:p>
      <w:pPr>
        <w:spacing w:after="120"/>
      </w:pPr>
      <w:r>
        <w:rPr>
          <w:sz w:val="22"/>
          <w:szCs w:val="22"/>
        </w:rPr>
        <w:t xml:space="preserve">• Approve/reject loans or registrations</w:t>
      </w:r>
    </w:p>
    <w:p>
      <w:pPr>
        <w:spacing w:after="120"/>
      </w:pPr>
      <w:r>
        <w:rPr>
          <w:sz w:val="22"/>
          <w:szCs w:val="22"/>
        </w:rPr>
        <w:t xml:space="preserve">• Record payments or expenses</w:t>
      </w:r>
    </w:p>
    <w:p>
      <w:pPr>
        <w:spacing w:after="120"/>
      </w:pPr>
      <w:r>
        <w:rPr>
          <w:sz w:val="22"/>
          <w:szCs w:val="22"/>
        </w:rPr>
        <w:t xml:space="preserve">• Modify users, pools, or settings</w:t>
      </w:r>
    </w:p>
    <w:p>
      <w:pPr>
        <w:spacing w:after="120"/>
      </w:pPr>
      <w:r>
        <w:rPr>
          <w:sz w:val="22"/>
          <w:szCs w:val="22"/>
        </w:rPr>
        <w:t xml:space="preserve">• Delete audit log entries</w:t>
      </w:r>
    </w:p>
    <w:p>
      <w:pPr>
        <w:pStyle w:val="Heading2"/>
        <w:spacing w:after="100" w:before="200"/>
      </w:pPr>
      <w:r>
        <w:rPr>
          <w:color w:val="0F6E56"/>
        </w:rPr>
        <w:t xml:space="preserve">9. Audit procedures</w:t>
      </w:r>
    </w:p>
    <w:p>
      <w:pPr>
        <w:pStyle w:val="Heading3"/>
        <w:spacing w:after="100" w:before="200"/>
      </w:pPr>
      <w:r>
        <w:rPr>
          <w:color w:val="0F6E56"/>
        </w:rPr>
        <w:t xml:space="preserve">Monthly review</w:t>
      </w:r>
    </w:p>
    <w:p>
      <w:pPr>
        <w:spacing w:after="120"/>
      </w:pPr>
      <w:r>
        <w:rPr>
          <w:sz w:val="22"/>
          <w:szCs w:val="22"/>
        </w:rPr>
        <w:t xml:space="preserve">1. Run portfolio summary report 2. Review reconciliation status for open items 3. Sample audit log for privileged actions 4. Verify expense approval chain (submitter ≠ approver) 5. Export compliance pack for records</w:t>
      </w:r>
    </w:p>
    <w:p>
      <w:pPr>
        <w:pStyle w:val="Heading3"/>
        <w:spacing w:after="100" w:before="200"/>
      </w:pPr>
      <w:r>
        <w:rPr>
          <w:color w:val="0F6E56"/>
        </w:rPr>
        <w:t xml:space="preserve">Investigation</w:t>
      </w:r>
    </w:p>
    <w:p>
      <w:pPr>
        <w:spacing w:after="120"/>
      </w:pPr>
      <w:r>
        <w:rPr>
          <w:sz w:val="22"/>
          <w:szCs w:val="22"/>
        </w:rPr>
        <w:t xml:space="preserve">1. Identify entity (borrower, loan, user) 2. Filter audit log by target entity 3. Cross-reference with report data 4. Document findings in external audit workbook</w:t>
      </w:r>
    </w:p>
    <w:p>
      <w:pPr>
        <w:pStyle w:val="Heading2"/>
        <w:spacing w:after="100" w:before="200"/>
      </w:pPr>
      <w:r>
        <w:rPr>
          <w:color w:val="0F6E56"/>
        </w:rPr>
        <w:t xml:space="preserve">10. Best practices</w:t>
      </w:r>
    </w:p>
    <w:p>
      <w:pPr>
        <w:spacing w:after="120"/>
      </w:pPr>
      <w:r>
        <w:rPr>
          <w:sz w:val="22"/>
          <w:szCs w:val="22"/>
        </w:rPr>
        <w:t xml:space="preserve">• Export reports before external audit deadlines</w:t>
      </w:r>
    </w:p>
    <w:p>
      <w:pPr>
        <w:spacing w:after="120"/>
      </w:pPr>
      <w:r>
        <w:rPr>
          <w:sz w:val="22"/>
          <w:szCs w:val="22"/>
        </w:rPr>
        <w:t xml:space="preserve">• Never attempt to modify data — contact admin</w:t>
      </w:r>
    </w:p>
    <w:p>
      <w:pPr>
        <w:spacing w:after="120"/>
      </w:pPr>
      <w:r>
        <w:rPr>
          <w:sz w:val="22"/>
          <w:szCs w:val="22"/>
        </w:rPr>
        <w:t xml:space="preserve">• Report suspicious audit log entries to programme director</w:t>
      </w:r>
    </w:p>
    <w:p>
      <w:pPr>
        <w:spacing w:after="120"/>
      </w:pPr>
      <w:r>
        <w:rPr>
          <w:sz w:val="22"/>
          <w:szCs w:val="22"/>
        </w:rPr>
        <w:t xml:space="preserve">• Maintain secure storage of exported files</w:t>
      </w:r>
    </w:p>
    <w:p>
      <w:pPr>
        <w:spacing w:after="120"/>
      </w:pPr>
      <w:r>
        <w:rPr>
          <w:sz w:val="22"/>
          <w:szCs w:val="22"/>
        </w:rPr>
        <w:t xml:space="preserve">CONFIDENTIAL — For authorized WILMS personnel, executive review, procurement, and official record keeping only.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 Manual v1.7.3</dc:title>
  <dc:creator>WILMS</dc:creator>
  <dc:description>Official WILMS documentation</dc:description>
  <cp:lastModifiedBy>Un-named</cp:lastModifiedBy>
  <cp:revision>1</cp:revision>
  <dcterms:created xsi:type="dcterms:W3CDTF">2026-08-07T18:07:38.701Z</dcterms:created>
  <dcterms:modified xsi:type="dcterms:W3CDTF">2026-08-07T18:07:38.701Z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