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0F6E56"/>
          <w:sz w:val="56"/>
          <w:szCs w:val="56"/>
        </w:rPr>
        <w:t xml:space="preserve">WILMS</w:t>
      </w:r>
    </w:p>
    <w:p>
      <w:pPr>
        <w:spacing w:after="200"/>
        <w:jc w:val="center"/>
      </w:pPr>
      <w:r>
        <w:rPr>
          <w:sz w:val="22"/>
          <w:szCs w:val="22"/>
        </w:rPr>
        <w:t xml:space="preserve">Women's Interest-Free Loan Management System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Board Presentation — v1.7.3</w:t>
      </w:r>
    </w:p>
    <w:p>
      <w:pPr>
        <w:pStyle w:val="Heading1"/>
        <w:spacing w:after="100" w:before="200"/>
      </w:pPr>
      <w:r>
        <w:rPr>
          <w:color w:val="0F6E56"/>
        </w:rPr>
        <w:t xml:space="preserve">WILMS Board Presentation</w:t>
      </w:r>
    </w:p>
    <w:p>
      <w:pPr>
        <w:spacing w:after="120"/>
      </w:pPr>
      <w:r>
        <w:rPr>
          <w:sz w:val="22"/>
          <w:szCs w:val="22"/>
        </w:rPr>
        <w:t xml:space="preserve">Version: 1.7.3 Audience: Directors, MPs, NGO boards, institutional partners Classification: Confidential</w:t>
      </w:r>
    </w:p>
    <w:p>
      <w:pPr>
        <w:pStyle w:val="Heading2"/>
        <w:spacing w:after="100" w:before="200"/>
      </w:pPr>
      <w:r>
        <w:rPr>
          <w:color w:val="0F6E56"/>
        </w:rPr>
        <w:t xml:space="preserve">Slide 1: Title</w:t>
      </w:r>
    </w:p>
    <w:p>
      <w:pPr>
        <w:spacing w:after="120"/>
      </w:pPr>
      <w:r>
        <w:rPr>
          <w:sz w:val="22"/>
          <w:szCs w:val="22"/>
        </w:rPr>
        <w:t xml:space="preserve">WILMS — Women's Interest-Free Loan Management System</w:t>
      </w:r>
    </w:p>
    <w:p>
      <w:pPr>
        <w:spacing w:after="120"/>
      </w:pPr>
      <w:r>
        <w:rPr>
          <w:sz w:val="22"/>
          <w:szCs w:val="22"/>
        </w:rPr>
        <w:t xml:space="preserve">Production operational platform | v1.7.3 documentation release</w:t>
      </w:r>
    </w:p>
    <w:p>
      <w:pPr>
        <w:spacing w:after="120"/>
      </w:pPr>
      <w:r>
        <w:rPr>
          <w:sz w:val="22"/>
          <w:szCs w:val="22"/>
        </w:rPr>
        <w:t xml:space="preserve">Platform features through v1.7.2 | August 2026</w:t>
      </w:r>
    </w:p>
    <w:p>
      <w:pPr>
        <w:pStyle w:val="Heading2"/>
        <w:spacing w:after="100" w:before="200"/>
      </w:pPr>
      <w:r>
        <w:rPr>
          <w:color w:val="0F6E56"/>
        </w:rPr>
        <w:t xml:space="preserve">Slide 2: The Challenge</w:t>
      </w:r>
    </w:p>
    <w:p>
      <w:pPr>
        <w:spacing w:after="120"/>
      </w:pPr>
      <w:r>
        <w:rPr>
          <w:sz w:val="22"/>
          <w:szCs w:val="22"/>
        </w:rPr>
        <w:t xml:space="preserve">Women's interest-free lending programmes face:</w:t>
      </w:r>
    </w:p>
    <w:p>
      <w:pPr>
        <w:spacing w:after="120"/>
      </w:pPr>
      <w:r>
        <w:rPr>
          <w:sz w:val="22"/>
          <w:szCs w:val="22"/>
        </w:rPr>
        <w:t xml:space="preserve">• Paper records lost or inconsistent</w:t>
      </w:r>
    </w:p>
    <w:p>
      <w:pPr>
        <w:spacing w:after="120"/>
      </w:pPr>
      <w:r>
        <w:rPr>
          <w:sz w:val="22"/>
          <w:szCs w:val="22"/>
        </w:rPr>
        <w:t xml:space="preserve">• No separation of duties between field and HQ</w:t>
      </w:r>
    </w:p>
    <w:p>
      <w:pPr>
        <w:spacing w:after="120"/>
      </w:pPr>
      <w:r>
        <w:rPr>
          <w:sz w:val="22"/>
          <w:szCs w:val="22"/>
        </w:rPr>
        <w:t xml:space="preserve">• Delayed visibility into portfolio health</w:t>
      </w:r>
    </w:p>
    <w:p>
      <w:pPr>
        <w:spacing w:after="120"/>
      </w:pPr>
      <w:r>
        <w:rPr>
          <w:sz w:val="22"/>
          <w:szCs w:val="22"/>
        </w:rPr>
        <w:t xml:space="preserve">• Fragile cash reconciliation</w:t>
      </w:r>
    </w:p>
    <w:p>
      <w:pPr>
        <w:spacing w:after="120"/>
      </w:pPr>
      <w:r>
        <w:rPr>
          <w:sz w:val="22"/>
          <w:szCs w:val="22"/>
        </w:rPr>
        <w:t xml:space="preserve">• Limited auditability for donors and boards</w:t>
      </w:r>
    </w:p>
    <w:p>
      <w:pPr>
        <w:pStyle w:val="Heading2"/>
        <w:spacing w:after="100" w:before="200"/>
      </w:pPr>
      <w:r>
        <w:rPr>
          <w:color w:val="0F6E56"/>
        </w:rPr>
        <w:t xml:space="preserve">Slide 3: The Solution</w:t>
      </w:r>
    </w:p>
    <w:p>
      <w:pPr>
        <w:spacing w:after="120"/>
      </w:pPr>
      <w:r>
        <w:rPr>
          <w:sz w:val="22"/>
          <w:szCs w:val="22"/>
        </w:rPr>
        <w:t xml:space="preserve">WILMS digitises the complete lending lifecycle:</w:t>
      </w:r>
    </w:p>
    <w:p>
      <w:pPr>
        <w:spacing w:after="120"/>
      </w:pPr>
      <w:r>
        <w:rPr>
          <w:sz w:val="22"/>
          <w:szCs w:val="22"/>
        </w:rPr>
        <w:t xml:space="preserve">Registration → Approval → Disbursement → Collections → Reconciliation → Reporting</w:t>
      </w:r>
    </w:p>
    <w:p>
      <w:pPr>
        <w:spacing w:after="120"/>
      </w:pPr>
      <w:r>
        <w:rPr>
          <w:sz w:val="22"/>
          <w:szCs w:val="22"/>
        </w:rPr>
        <w:t xml:space="preserve">One platform. Five roles. Full audit trail.</w:t>
      </w:r>
    </w:p>
    <w:p>
      <w:pPr>
        <w:pStyle w:val="Heading2"/>
        <w:spacing w:after="100" w:before="200"/>
      </w:pPr>
      <w:r>
        <w:rPr>
          <w:color w:val="0F6E56"/>
        </w:rPr>
        <w:t xml:space="preserve">Slide 4: Platform at a Glance</w:t>
      </w:r>
    </w:p>
    <w:p>
      <w:pPr>
        <w:spacing w:after="120"/>
      </w:pPr>
      <w:r>
        <w:rPr>
          <w:sz w:val="22"/>
          <w:szCs w:val="22"/>
        </w:rPr>
        <w:t xml:space="preserve">| Metric | Value |</w:t>
      </w:r>
    </w:p>
    <w:p>
      <w:pPr>
        <w:spacing w:after="120"/>
      </w:pPr>
      <w:r>
        <w:rPr>
          <w:sz w:val="22"/>
          <w:szCs w:val="22"/>
        </w:rPr>
        <w:t xml:space="preserve">|--------|-------|</w:t>
      </w:r>
    </w:p>
    <w:p>
      <w:pPr>
        <w:spacing w:after="120"/>
      </w:pPr>
      <w:r>
        <w:rPr>
          <w:sz w:val="22"/>
          <w:szCs w:val="22"/>
        </w:rPr>
        <w:t xml:space="preserve">| Roles supported | 5 (Admin, Officer, Collector, Approver, Auditor) |</w:t>
      </w:r>
    </w:p>
    <w:p>
      <w:pPr>
        <w:spacing w:after="120"/>
      </w:pPr>
      <w:r>
        <w:rPr>
          <w:sz w:val="22"/>
          <w:szCs w:val="22"/>
        </w:rPr>
        <w:t xml:space="preserve">| Money handling | Integer pesewas — no rounding errors |</w:t>
      </w:r>
    </w:p>
    <w:p>
      <w:pPr>
        <w:spacing w:after="120"/>
      </w:pPr>
      <w:r>
        <w:rPr>
          <w:sz w:val="22"/>
          <w:szCs w:val="22"/>
        </w:rPr>
        <w:t xml:space="preserve">| Deployment | Vercel + Neon PostgreSQL |</w:t>
      </w:r>
    </w:p>
    <w:p>
      <w:pPr>
        <w:spacing w:after="120"/>
      </w:pPr>
      <w:r>
        <w:rPr>
          <w:sz w:val="22"/>
          <w:szCs w:val="22"/>
        </w:rPr>
        <w:t xml:space="preserve">| Offline capable | Field collector payments |</w:t>
      </w:r>
    </w:p>
    <w:p>
      <w:pPr>
        <w:spacing w:after="120"/>
      </w:pPr>
      <w:r>
        <w:rPr>
          <w:sz w:val="22"/>
          <w:szCs w:val="22"/>
        </w:rPr>
        <w:t xml:space="preserve">| Auth | HMAC session security |</w:t>
      </w:r>
    </w:p>
    <w:p>
      <w:pPr>
        <w:pStyle w:val="Heading2"/>
        <w:spacing w:after="100" w:before="200"/>
      </w:pPr>
      <w:r>
        <w:rPr>
          <w:color w:val="0F6E56"/>
        </w:rPr>
        <w:t xml:space="preserve">Slide 5: Financial Integrity</w:t>
      </w:r>
    </w:p>
    <w:p>
      <w:pPr>
        <w:spacing w:after="120"/>
      </w:pPr>
      <w:r>
        <w:rPr>
          <w:sz w:val="22"/>
          <w:szCs w:val="22"/>
        </w:rPr>
        <w:t xml:space="preserve">• Admin fee enforced before disbursement</w:t>
      </w:r>
    </w:p>
    <w:p>
      <w:pPr>
        <w:spacing w:after="120"/>
      </w:pPr>
      <w:r>
        <w:rPr>
          <w:sz w:val="22"/>
          <w:szCs w:val="22"/>
        </w:rPr>
        <w:t xml:space="preserve">• Pool hard-stop prevents over-disbursement</w:t>
      </w:r>
    </w:p>
    <w:p>
      <w:pPr>
        <w:spacing w:after="120"/>
      </w:pPr>
      <w:r>
        <w:rPr>
          <w:sz w:val="22"/>
          <w:szCs w:val="22"/>
        </w:rPr>
        <w:t xml:space="preserve">• Full weekly collections — no partial payments</w:t>
      </w:r>
    </w:p>
    <w:p>
      <w:pPr>
        <w:spacing w:after="120"/>
      </w:pPr>
      <w:r>
        <w:rPr>
          <w:sz w:val="22"/>
          <w:szCs w:val="22"/>
        </w:rPr>
        <w:t xml:space="preserve">• Immutable payments after day-end</w:t>
      </w:r>
    </w:p>
    <w:p>
      <w:pPr>
        <w:spacing w:after="120"/>
      </w:pPr>
      <w:r>
        <w:rPr>
          <w:sz w:val="22"/>
          <w:szCs w:val="22"/>
        </w:rPr>
        <w:t xml:space="preserve">• Maker-checker on expenses and approvals</w:t>
      </w:r>
    </w:p>
    <w:p>
      <w:pPr>
        <w:spacing w:after="120"/>
      </w:pPr>
      <w:r>
        <w:rPr>
          <w:sz w:val="22"/>
          <w:szCs w:val="22"/>
        </w:rPr>
        <w:t xml:space="preserve">• Append-only audit log</w:t>
      </w:r>
    </w:p>
    <w:p>
      <w:pPr>
        <w:pStyle w:val="Heading2"/>
        <w:spacing w:after="100" w:before="200"/>
      </w:pPr>
      <w:r>
        <w:rPr>
          <w:color w:val="0F6E56"/>
        </w:rPr>
        <w:t xml:space="preserve">Slide 6: Executive Intelligence</w:t>
      </w:r>
    </w:p>
    <w:p>
      <w:pPr>
        <w:spacing w:after="120"/>
      </w:pPr>
      <w:r>
        <w:rPr>
          <w:sz w:val="22"/>
          <w:szCs w:val="22"/>
        </w:rPr>
        <w:t xml:space="preserve">Board-ready dashboard with:</w:t>
      </w:r>
    </w:p>
    <w:p>
      <w:pPr>
        <w:spacing w:after="120"/>
      </w:pPr>
      <w:r>
        <w:rPr>
          <w:sz w:val="22"/>
          <w:szCs w:val="22"/>
        </w:rPr>
        <w:t xml:space="preserve">• Financial KPIs: disbursed, collected, outstanding</w:t>
      </w:r>
    </w:p>
    <w:p>
      <w:pPr>
        <w:spacing w:after="120"/>
      </w:pPr>
      <w:r>
        <w:rPr>
          <w:sz w:val="22"/>
          <w:szCs w:val="22"/>
        </w:rPr>
        <w:t xml:space="preserve">• Operational KPIs: active borrowers, collection rate</w:t>
      </w:r>
    </w:p>
    <w:p>
      <w:pPr>
        <w:spacing w:after="120"/>
      </w:pPr>
      <w:r>
        <w:rPr>
          <w:sz w:val="22"/>
          <w:szCs w:val="22"/>
        </w:rPr>
        <w:t xml:space="preserve">• Risk indicators: overdue, flagged borrowers</w:t>
      </w:r>
    </w:p>
    <w:p>
      <w:pPr>
        <w:spacing w:after="120"/>
      </w:pPr>
      <w:r>
        <w:rPr>
          <w:sz w:val="22"/>
          <w:szCs w:val="22"/>
        </w:rPr>
        <w:t xml:space="preserve">• Schedule-based forecasting</w:t>
      </w:r>
    </w:p>
    <w:p>
      <w:pPr>
        <w:spacing w:after="120"/>
      </w:pPr>
      <w:r>
        <w:rPr>
          <w:sz w:val="22"/>
          <w:szCs w:val="22"/>
        </w:rPr>
        <w:t xml:space="preserve">• One-click compliance pack export</w:t>
      </w:r>
    </w:p>
    <w:p>
      <w:pPr>
        <w:pStyle w:val="Heading2"/>
        <w:spacing w:after="100" w:before="200"/>
      </w:pPr>
      <w:r>
        <w:rPr>
          <w:color w:val="0F6E56"/>
        </w:rPr>
        <w:t xml:space="preserve">Slide 7: Field Operations</w:t>
      </w:r>
    </w:p>
    <w:p>
      <w:pPr>
        <w:spacing w:after="120"/>
      </w:pPr>
      <w:r>
        <w:rPr>
          <w:sz w:val="22"/>
          <w:szCs w:val="22"/>
        </w:rPr>
        <w:t xml:space="preserve">• Mobile-optimised collector shell</w:t>
      </w:r>
    </w:p>
    <w:p>
      <w:pPr>
        <w:spacing w:after="120"/>
      </w:pPr>
      <w:r>
        <w:rPr>
          <w:sz w:val="22"/>
          <w:szCs w:val="22"/>
        </w:rPr>
        <w:t xml:space="preserve">• GPS-verified payment capture</w:t>
      </w:r>
    </w:p>
    <w:p>
      <w:pPr>
        <w:spacing w:after="120"/>
      </w:pPr>
      <w:r>
        <w:rPr>
          <w:sz w:val="22"/>
          <w:szCs w:val="22"/>
        </w:rPr>
        <w:t xml:space="preserve">• Offline queue with auto-sync</w:t>
      </w:r>
    </w:p>
    <w:p>
      <w:pPr>
        <w:spacing w:after="120"/>
      </w:pPr>
      <w:r>
        <w:rPr>
          <w:sz w:val="22"/>
          <w:szCs w:val="22"/>
        </w:rPr>
        <w:t xml:space="preserve">• Daily cash reconciliation</w:t>
      </w:r>
    </w:p>
    <w:p>
      <w:pPr>
        <w:spacing w:after="120"/>
      </w:pPr>
      <w:r>
        <w:rPr>
          <w:sz w:val="22"/>
          <w:szCs w:val="22"/>
        </w:rPr>
        <w:t xml:space="preserve">• Group collection sheets</w:t>
      </w:r>
    </w:p>
    <w:p>
      <w:pPr>
        <w:pStyle w:val="Heading2"/>
        <w:spacing w:after="100" w:before="200"/>
      </w:pPr>
      <w:r>
        <w:rPr>
          <w:color w:val="0F6E56"/>
        </w:rPr>
        <w:t xml:space="preserve">Slide 8: Security and Compliance</w:t>
      </w:r>
    </w:p>
    <w:p>
      <w:pPr>
        <w:spacing w:after="120"/>
      </w:pPr>
      <w:r>
        <w:rPr>
          <w:sz w:val="22"/>
          <w:szCs w:val="22"/>
        </w:rPr>
        <w:t xml:space="preserve">• Role-based access control</w:t>
      </w:r>
    </w:p>
    <w:p>
      <w:pPr>
        <w:spacing w:after="120"/>
      </w:pPr>
      <w:r>
        <w:rPr>
          <w:sz w:val="22"/>
          <w:szCs w:val="22"/>
        </w:rPr>
        <w:t xml:space="preserve">• Separation of duties enforced</w:t>
      </w:r>
    </w:p>
    <w:p>
      <w:pPr>
        <w:spacing w:after="120"/>
      </w:pPr>
      <w:r>
        <w:rPr>
          <w:sz w:val="22"/>
          <w:szCs w:val="22"/>
        </w:rPr>
        <w:t xml:space="preserve">• Confidentiality notices on all exports</w:t>
      </w:r>
    </w:p>
    <w:p>
      <w:pPr>
        <w:spacing w:after="120"/>
      </w:pPr>
      <w:r>
        <w:rPr>
          <w:sz w:val="22"/>
          <w:szCs w:val="22"/>
        </w:rPr>
        <w:t xml:space="preserve">• Login alerts and force-logout</w:t>
      </w:r>
    </w:p>
    <w:p>
      <w:pPr>
        <w:spacing w:after="120"/>
      </w:pPr>
      <w:r>
        <w:rPr>
          <w:sz w:val="22"/>
          <w:szCs w:val="22"/>
        </w:rPr>
        <w:t xml:space="preserve">• Rate limiting and CSRF protection</w:t>
      </w:r>
    </w:p>
    <w:p>
      <w:pPr>
        <w:pStyle w:val="Heading2"/>
        <w:spacing w:after="100" w:before="200"/>
      </w:pPr>
      <w:r>
        <w:rPr>
          <w:color w:val="0F6E56"/>
        </w:rPr>
        <w:t xml:space="preserve">Slide 9: Release History</w:t>
      </w:r>
    </w:p>
    <w:p>
      <w:pPr>
        <w:spacing w:after="120"/>
      </w:pPr>
      <w:r>
        <w:rPr>
          <w:sz w:val="22"/>
          <w:szCs w:val="22"/>
        </w:rPr>
        <w:t xml:space="preserve">| Version | Milestone |</w:t>
      </w:r>
    </w:p>
    <w:p>
      <w:pPr>
        <w:spacing w:after="120"/>
      </w:pPr>
      <w:r>
        <w:rPr>
          <w:sz w:val="22"/>
          <w:szCs w:val="22"/>
        </w:rPr>
        <w:t xml:space="preserve">|---------|-----------|</w:t>
      </w:r>
    </w:p>
    <w:p>
      <w:pPr>
        <w:spacing w:after="120"/>
      </w:pPr>
      <w:r>
        <w:rPr>
          <w:sz w:val="22"/>
          <w:szCs w:val="22"/>
        </w:rPr>
        <w:t xml:space="preserve">| v1.5 | Platform consolidation |</w:t>
      </w:r>
    </w:p>
    <w:p>
      <w:pPr>
        <w:spacing w:after="120"/>
      </w:pPr>
      <w:r>
        <w:rPr>
          <w:sz w:val="22"/>
          <w:szCs w:val="22"/>
        </w:rPr>
        <w:t xml:space="preserve">| v1.6 | Enterprise readiness |</w:t>
      </w:r>
    </w:p>
    <w:p>
      <w:pPr>
        <w:spacing w:after="120"/>
      </w:pPr>
      <w:r>
        <w:rPr>
          <w:sz w:val="22"/>
          <w:szCs w:val="22"/>
        </w:rPr>
        <w:t xml:space="preserve">| v1.7.0 | Executive intelligence |</w:t>
      </w:r>
    </w:p>
    <w:p>
      <w:pPr>
        <w:spacing w:after="120"/>
      </w:pPr>
      <w:r>
        <w:rPr>
          <w:sz w:val="22"/>
          <w:szCs w:val="22"/>
        </w:rPr>
        <w:t xml:space="preserve">| v1.7.2 | RC stabilization |</w:t>
      </w:r>
    </w:p>
    <w:p>
      <w:pPr>
        <w:spacing w:after="120"/>
      </w:pPr>
      <w:r>
        <w:rPr>
          <w:sz w:val="22"/>
          <w:szCs w:val="22"/>
        </w:rPr>
        <w:t xml:space="preserve">| v1.7.3 | Official documentation library |</w:t>
      </w:r>
    </w:p>
    <w:p>
      <w:pPr>
        <w:pStyle w:val="Heading2"/>
        <w:spacing w:after="100" w:before="200"/>
      </w:pPr>
      <w:r>
        <w:rPr>
          <w:color w:val="0F6E56"/>
        </w:rPr>
        <w:t xml:space="preserve">Slide 10: Roadmap</w:t>
      </w:r>
    </w:p>
    <w:p>
      <w:pPr>
        <w:spacing w:after="120"/>
      </w:pPr>
      <w:r>
        <w:rPr>
          <w:sz w:val="22"/>
          <w:szCs w:val="22"/>
        </w:rPr>
        <w:t xml:space="preserve">• v1.8 — Mobile money and bank integrations</w:t>
      </w:r>
    </w:p>
    <w:p>
      <w:pPr>
        <w:spacing w:after="120"/>
      </w:pPr>
      <w:r>
        <w:rPr>
          <w:sz w:val="22"/>
          <w:szCs w:val="22"/>
        </w:rPr>
        <w:t xml:space="preserve">• v1.9 — Workflow automation</w:t>
      </w:r>
    </w:p>
    <w:p>
      <w:pPr>
        <w:spacing w:after="120"/>
      </w:pPr>
      <w:r>
        <w:rPr>
          <w:sz w:val="22"/>
          <w:szCs w:val="22"/>
        </w:rPr>
        <w:t xml:space="preserve">• v2.0 — General ledger and multi-branch</w:t>
      </w:r>
    </w:p>
    <w:p>
      <w:pPr>
        <w:spacing w:after="120"/>
      </w:pPr>
      <w:r>
        <w:rPr>
          <w:sz w:val="22"/>
          <w:szCs w:val="22"/>
        </w:rPr>
        <w:t xml:space="preserve">• v3.0 — Platform scale and localization</w:t>
      </w:r>
    </w:p>
    <w:p>
      <w:pPr>
        <w:pStyle w:val="Heading2"/>
        <w:spacing w:after="100" w:before="200"/>
      </w:pPr>
      <w:r>
        <w:rPr>
          <w:color w:val="0F6E56"/>
        </w:rPr>
        <w:t xml:space="preserve">Slide 11: Recommendation</w:t>
      </w:r>
    </w:p>
    <w:p>
      <w:pPr>
        <w:spacing w:after="120"/>
      </w:pPr>
      <w:r>
        <w:rPr>
          <w:sz w:val="22"/>
          <w:szCs w:val="22"/>
        </w:rPr>
        <w:t xml:space="preserve">WILMS is ready for programme deployment and partner evaluation. The v1.7.3 documentation library provides comprehensive manuals, technical references, and compliance artefacts for procurement and audit.</w:t>
      </w:r>
    </w:p>
    <w:p>
      <w:pPr>
        <w:pStyle w:val="Heading2"/>
        <w:spacing w:after="100" w:before="200"/>
      </w:pPr>
      <w:r>
        <w:rPr>
          <w:color w:val="0F6E56"/>
        </w:rPr>
        <w:t xml:space="preserve">Slide 12: Contact</w:t>
      </w:r>
    </w:p>
    <w:p>
      <w:pPr>
        <w:spacing w:after="120"/>
      </w:pPr>
      <w:r>
        <w:rPr>
          <w:sz w:val="22"/>
          <w:szCs w:val="22"/>
        </w:rPr>
        <w:t xml:space="preserve">Programme administration via WILMS Super Admin portal.</w:t>
      </w:r>
    </w:p>
    <w:p>
      <w:pPr>
        <w:spacing w:after="120"/>
      </w:pPr>
      <w:r>
        <w:rPr>
          <w:sz w:val="22"/>
          <w:szCs w:val="22"/>
        </w:rPr>
        <w:t xml:space="preserve">Technical documentation: documentation/ library.</w:t>
      </w:r>
    </w:p>
    <w:p>
      <w:pPr>
        <w:spacing w:after="120"/>
      </w:pPr>
      <w:r>
        <w:rPr>
          <w:sz w:val="22"/>
          <w:szCs w:val="22"/>
        </w:rPr>
        <w:t xml:space="preserve">CONFIDENTIAL — For authorized WILMS personnel, executive review, procurement, and official record keeping only.</w:t>
      </w:r>
    </w:p>
    <w:p>
      <w:pPr>
        <w:spacing w:before="400"/>
      </w:pPr>
      <w:r>
        <w:rPr>
          <w:i/>
          <w:iCs/>
          <w:sz w:val="18"/>
          <w:szCs w:val="18"/>
        </w:rPr>
        <w:t xml:space="preserve">CONFIDENTIAL — For authorized WILMS personnel, executive review, procurement, and official record keeping only.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Board Presentation v1.7.3</dc:title>
  <dc:creator>WILMS</dc:creator>
  <dc:description>Official WILMS documentation</dc:description>
  <cp:lastModifiedBy>Un-named</cp:lastModifiedBy>
  <cp:revision>1</cp:revision>
  <dcterms:created xsi:type="dcterms:W3CDTF">2026-08-07T18:07:38.917Z</dcterms:created>
  <dcterms:modified xsi:type="dcterms:W3CDTF">2026-08-07T18:07:38.917Z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